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2886"/>
      </w:tblGrid>
      <w:tr w:rsidR="003C18F1" w:rsidRPr="002F5916" w:rsidTr="003C18F1">
        <w:trPr>
          <w:jc w:val="center"/>
        </w:trPr>
        <w:tc>
          <w:tcPr>
            <w:tcW w:w="2845" w:type="dxa"/>
            <w:shd w:val="clear" w:color="auto" w:fill="auto"/>
          </w:tcPr>
          <w:p w:rsidR="003C18F1" w:rsidRPr="00AF670B" w:rsidRDefault="003C18F1" w:rsidP="003C18F1">
            <w:pPr>
              <w:spacing w:after="0" w:line="240" w:lineRule="auto"/>
              <w:jc w:val="center"/>
              <w:rPr>
                <w:rFonts w:ascii="Times New Roman" w:eastAsia="Times New Roman" w:hAnsi="Times New Roman"/>
                <w:sz w:val="24"/>
                <w:szCs w:val="24"/>
              </w:rPr>
            </w:pPr>
            <w:bookmarkStart w:id="0" w:name="_GoBack"/>
            <w:bookmarkEnd w:id="0"/>
            <w:r>
              <w:rPr>
                <w:rFonts w:ascii="Times New Roman" w:eastAsia="Times New Roman" w:hAnsi="Times New Roman"/>
                <w:noProof/>
                <w:sz w:val="24"/>
                <w:szCs w:val="24"/>
              </w:rPr>
              <w:drawing>
                <wp:inline distT="0" distB="0" distL="0" distR="0">
                  <wp:extent cx="1672590" cy="1480185"/>
                  <wp:effectExtent l="19050" t="0" r="3810" b="0"/>
                  <wp:docPr id="4" name="Picture 1" descr="http://bas.bg/templates/BAS/i/bas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s.bg/templates/BAS/i/bas_new_logo.jpg"/>
                          <pic:cNvPicPr>
                            <a:picLocks noChangeAspect="1" noChangeArrowheads="1"/>
                          </pic:cNvPicPr>
                        </pic:nvPicPr>
                        <pic:blipFill>
                          <a:blip r:embed="rId9" cstate="print"/>
                          <a:srcRect/>
                          <a:stretch>
                            <a:fillRect/>
                          </a:stretch>
                        </pic:blipFill>
                        <pic:spPr bwMode="auto">
                          <a:xfrm>
                            <a:off x="0" y="0"/>
                            <a:ext cx="1672590" cy="1480185"/>
                          </a:xfrm>
                          <a:prstGeom prst="rect">
                            <a:avLst/>
                          </a:prstGeom>
                          <a:noFill/>
                          <a:ln w="9525">
                            <a:noFill/>
                            <a:miter lim="800000"/>
                            <a:headEnd/>
                            <a:tailEnd/>
                          </a:ln>
                        </pic:spPr>
                      </pic:pic>
                    </a:graphicData>
                  </a:graphic>
                </wp:inline>
              </w:drawing>
            </w:r>
          </w:p>
        </w:tc>
      </w:tr>
    </w:tbl>
    <w:p w:rsidR="003C18F1" w:rsidRPr="00AF670B" w:rsidRDefault="003C18F1" w:rsidP="003C18F1">
      <w:pPr>
        <w:spacing w:after="0" w:line="240" w:lineRule="auto"/>
        <w:ind w:left="142"/>
        <w:rPr>
          <w:rFonts w:ascii="Times New Roman" w:eastAsia="Times New Roman" w:hAnsi="Times New Roman"/>
          <w:sz w:val="24"/>
          <w:szCs w:val="24"/>
        </w:rPr>
      </w:pPr>
      <w:r w:rsidRPr="00AF670B">
        <w:rPr>
          <w:rFonts w:ascii="Times New Roman" w:eastAsia="Times New Roman" w:hAnsi="Times New Roman"/>
          <w:sz w:val="24"/>
          <w:szCs w:val="24"/>
        </w:rPr>
        <w:t xml:space="preserve"> </w:t>
      </w:r>
    </w:p>
    <w:p w:rsidR="003C18F1" w:rsidRPr="00AF670B" w:rsidRDefault="003C18F1" w:rsidP="003C18F1">
      <w:pPr>
        <w:spacing w:after="0" w:line="240" w:lineRule="auto"/>
        <w:ind w:left="142"/>
        <w:jc w:val="center"/>
        <w:rPr>
          <w:rFonts w:ascii="Times New Roman" w:eastAsia="Times New Roman" w:hAnsi="Times New Roman"/>
          <w:b/>
          <w:sz w:val="32"/>
          <w:szCs w:val="33"/>
          <w:lang w:eastAsia="da-DK"/>
        </w:rPr>
      </w:pPr>
    </w:p>
    <w:p w:rsidR="003C18F1" w:rsidRPr="00AF670B" w:rsidRDefault="003C18F1" w:rsidP="003C18F1">
      <w:pPr>
        <w:spacing w:after="0" w:line="240" w:lineRule="auto"/>
        <w:ind w:left="142"/>
        <w:jc w:val="right"/>
        <w:rPr>
          <w:rFonts w:ascii="Times New Roman" w:eastAsia="Times New Roman" w:hAnsi="Times New Roman"/>
          <w:b/>
          <w:i/>
          <w:color w:val="C00000"/>
          <w:sz w:val="32"/>
          <w:szCs w:val="33"/>
          <w:lang w:eastAsia="da-DK"/>
        </w:rPr>
      </w:pPr>
    </w:p>
    <w:p w:rsidR="003C18F1" w:rsidRPr="00AF670B" w:rsidRDefault="003C18F1" w:rsidP="003C18F1">
      <w:pPr>
        <w:spacing w:after="0" w:line="240" w:lineRule="auto"/>
        <w:ind w:left="142"/>
        <w:rPr>
          <w:rFonts w:ascii="Times New Roman" w:eastAsia="Times New Roman" w:hAnsi="Times New Roman"/>
          <w:sz w:val="32"/>
          <w:szCs w:val="33"/>
          <w:lang w:eastAsia="da-DK"/>
        </w:rPr>
      </w:pPr>
    </w:p>
    <w:p w:rsidR="003C18F1" w:rsidRPr="00AF670B" w:rsidRDefault="003C18F1" w:rsidP="003C18F1">
      <w:pPr>
        <w:spacing w:after="0" w:line="360" w:lineRule="auto"/>
        <w:ind w:left="142"/>
        <w:jc w:val="center"/>
        <w:rPr>
          <w:rFonts w:ascii="Times New Roman" w:eastAsia="Times New Roman" w:hAnsi="Times New Roman"/>
          <w:b/>
          <w:color w:val="002060"/>
          <w:sz w:val="40"/>
          <w:szCs w:val="40"/>
          <w:lang w:eastAsia="da-DK"/>
        </w:rPr>
      </w:pPr>
      <w:r w:rsidRPr="00AF670B">
        <w:rPr>
          <w:rFonts w:ascii="Times New Roman" w:eastAsia="Times New Roman" w:hAnsi="Times New Roman"/>
          <w:b/>
          <w:color w:val="002060"/>
          <w:sz w:val="40"/>
          <w:szCs w:val="40"/>
          <w:lang w:eastAsia="da-DK"/>
        </w:rPr>
        <w:t xml:space="preserve">Договор с предмет: </w:t>
      </w:r>
      <w:r w:rsidRPr="00AF670B">
        <w:rPr>
          <w:rFonts w:ascii="Times New Roman" w:eastAsia="Times New Roman" w:hAnsi="Times New Roman"/>
          <w:color w:val="002060"/>
          <w:sz w:val="24"/>
          <w:szCs w:val="24"/>
        </w:rPr>
        <w:t xml:space="preserve"> </w:t>
      </w:r>
    </w:p>
    <w:p w:rsidR="003C18F1" w:rsidRPr="00AF670B" w:rsidRDefault="003C18F1" w:rsidP="003C18F1">
      <w:pPr>
        <w:spacing w:after="120" w:line="240" w:lineRule="auto"/>
        <w:ind w:left="142"/>
        <w:jc w:val="center"/>
        <w:rPr>
          <w:rFonts w:ascii="Times New Roman" w:eastAsia="Times New Roman" w:hAnsi="Times New Roman"/>
          <w:b/>
          <w:bCs/>
          <w:color w:val="A50021"/>
          <w:sz w:val="36"/>
          <w:szCs w:val="36"/>
        </w:rPr>
      </w:pPr>
      <w:r w:rsidRPr="00AF670B">
        <w:rPr>
          <w:rFonts w:ascii="Times New Roman" w:eastAsia="Times New Roman" w:hAnsi="Times New Roman"/>
          <w:b/>
          <w:bCs/>
          <w:color w:val="A50021"/>
          <w:sz w:val="36"/>
          <w:szCs w:val="36"/>
        </w:rPr>
        <w:t>„Изготвяне на Национална стратегия в областта на енергетиката</w:t>
      </w:r>
      <w:r>
        <w:rPr>
          <w:rFonts w:ascii="Times New Roman" w:eastAsia="Times New Roman" w:hAnsi="Times New Roman"/>
          <w:b/>
          <w:bCs/>
          <w:color w:val="A50021"/>
          <w:sz w:val="36"/>
          <w:szCs w:val="36"/>
        </w:rPr>
        <w:t xml:space="preserve"> (с фокус върху електроенергетиката)</w:t>
      </w:r>
      <w:r w:rsidRPr="00AF670B">
        <w:rPr>
          <w:rFonts w:ascii="Times New Roman" w:eastAsia="Times New Roman" w:hAnsi="Times New Roman"/>
          <w:b/>
          <w:bCs/>
          <w:color w:val="A50021"/>
          <w:sz w:val="36"/>
          <w:szCs w:val="36"/>
        </w:rPr>
        <w:t>”</w:t>
      </w:r>
    </w:p>
    <w:p w:rsidR="003C18F1" w:rsidRPr="00AF670B" w:rsidRDefault="003C18F1" w:rsidP="003C18F1">
      <w:pPr>
        <w:spacing w:after="0" w:line="240" w:lineRule="auto"/>
        <w:ind w:left="142" w:hanging="720"/>
        <w:jc w:val="center"/>
        <w:rPr>
          <w:rFonts w:ascii="Times New Roman" w:eastAsia="Times New Roman" w:hAnsi="Times New Roman"/>
          <w:b/>
          <w:spacing w:val="40"/>
          <w:sz w:val="32"/>
          <w:szCs w:val="32"/>
        </w:rPr>
      </w:pPr>
    </w:p>
    <w:p w:rsidR="003C18F1" w:rsidRPr="00AF670B" w:rsidRDefault="003C18F1" w:rsidP="003C18F1">
      <w:pPr>
        <w:spacing w:after="0" w:line="240" w:lineRule="auto"/>
        <w:ind w:left="142" w:hanging="720"/>
        <w:jc w:val="center"/>
        <w:rPr>
          <w:rFonts w:ascii="Times New Roman" w:eastAsia="Times New Roman" w:hAnsi="Times New Roman"/>
          <w:b/>
          <w:spacing w:val="40"/>
          <w:sz w:val="32"/>
          <w:szCs w:val="32"/>
        </w:rPr>
      </w:pPr>
    </w:p>
    <w:p w:rsidR="003C18F1" w:rsidRPr="00AF670B" w:rsidRDefault="003C18F1" w:rsidP="003C18F1">
      <w:pPr>
        <w:spacing w:after="0" w:line="240" w:lineRule="auto"/>
        <w:ind w:left="142" w:hanging="720"/>
        <w:jc w:val="center"/>
        <w:rPr>
          <w:rFonts w:ascii="Times New Roman" w:eastAsia="Times New Roman" w:hAnsi="Times New Roman"/>
          <w:b/>
          <w:spacing w:val="40"/>
          <w:sz w:val="32"/>
          <w:szCs w:val="32"/>
        </w:rPr>
      </w:pPr>
    </w:p>
    <w:p w:rsidR="003C18F1" w:rsidRPr="00AF670B" w:rsidRDefault="003C18F1" w:rsidP="003C18F1">
      <w:pPr>
        <w:spacing w:after="0" w:line="240" w:lineRule="auto"/>
        <w:ind w:left="142" w:hanging="720"/>
        <w:jc w:val="center"/>
        <w:rPr>
          <w:rFonts w:ascii="Times New Roman" w:eastAsia="Times New Roman" w:hAnsi="Times New Roman"/>
          <w:b/>
          <w:spacing w:val="40"/>
          <w:sz w:val="32"/>
          <w:szCs w:val="32"/>
        </w:rPr>
      </w:pPr>
    </w:p>
    <w:p w:rsidR="003C18F1" w:rsidRPr="001936AB" w:rsidRDefault="003C18F1" w:rsidP="003C18F1">
      <w:pPr>
        <w:spacing w:after="120" w:line="240" w:lineRule="auto"/>
        <w:ind w:left="142"/>
        <w:jc w:val="center"/>
        <w:rPr>
          <w:rFonts w:ascii="Times New Roman" w:eastAsia="Times New Roman" w:hAnsi="Times New Roman"/>
          <w:b/>
          <w:color w:val="002060"/>
          <w:sz w:val="48"/>
          <w:szCs w:val="48"/>
        </w:rPr>
      </w:pPr>
      <w:r>
        <w:rPr>
          <w:rFonts w:ascii="Times New Roman" w:eastAsia="Times New Roman" w:hAnsi="Times New Roman"/>
          <w:b/>
          <w:color w:val="002060"/>
          <w:sz w:val="48"/>
          <w:szCs w:val="48"/>
        </w:rPr>
        <w:t>МЕЖДИНЕН ДОКЛАД   2</w:t>
      </w:r>
      <w:r w:rsidRPr="001936AB">
        <w:rPr>
          <w:rFonts w:ascii="Times New Roman" w:eastAsia="Times New Roman" w:hAnsi="Times New Roman"/>
          <w:b/>
          <w:color w:val="002060"/>
          <w:sz w:val="48"/>
          <w:szCs w:val="48"/>
        </w:rPr>
        <w:t xml:space="preserve"> </w:t>
      </w:r>
    </w:p>
    <w:p w:rsidR="003C18F1" w:rsidRPr="00AF670B" w:rsidRDefault="003C18F1" w:rsidP="003C18F1">
      <w:pPr>
        <w:spacing w:after="0" w:line="240" w:lineRule="auto"/>
        <w:ind w:left="142" w:hanging="720"/>
        <w:jc w:val="center"/>
        <w:rPr>
          <w:rFonts w:ascii="Times New Roman" w:eastAsia="Times New Roman" w:hAnsi="Times New Roman"/>
          <w:b/>
          <w:spacing w:val="40"/>
          <w:sz w:val="32"/>
          <w:szCs w:val="32"/>
        </w:rPr>
      </w:pPr>
    </w:p>
    <w:p w:rsidR="003C18F1" w:rsidRPr="00AF670B" w:rsidRDefault="003C18F1" w:rsidP="003C18F1">
      <w:pPr>
        <w:spacing w:after="0" w:line="240" w:lineRule="auto"/>
        <w:ind w:left="142" w:hanging="720"/>
        <w:jc w:val="center"/>
        <w:rPr>
          <w:rFonts w:ascii="Times New Roman" w:eastAsia="Times New Roman" w:hAnsi="Times New Roman"/>
          <w:b/>
          <w:spacing w:val="40"/>
          <w:sz w:val="32"/>
          <w:szCs w:val="32"/>
        </w:rPr>
      </w:pPr>
    </w:p>
    <w:p w:rsidR="003C18F1" w:rsidRPr="00AF670B" w:rsidRDefault="003C18F1" w:rsidP="003C18F1">
      <w:pPr>
        <w:spacing w:after="0" w:line="240" w:lineRule="auto"/>
        <w:ind w:left="142" w:hanging="720"/>
        <w:jc w:val="center"/>
        <w:rPr>
          <w:rFonts w:ascii="Times New Roman" w:eastAsia="Times New Roman" w:hAnsi="Times New Roman"/>
          <w:b/>
          <w:spacing w:val="40"/>
          <w:sz w:val="32"/>
          <w:szCs w:val="32"/>
        </w:rPr>
      </w:pPr>
    </w:p>
    <w:p w:rsidR="003C18F1" w:rsidRPr="00AF670B" w:rsidRDefault="003C18F1" w:rsidP="003C18F1">
      <w:pPr>
        <w:spacing w:after="0" w:line="240" w:lineRule="auto"/>
        <w:ind w:left="142" w:hanging="720"/>
        <w:jc w:val="center"/>
        <w:rPr>
          <w:rFonts w:ascii="Times New Roman" w:eastAsia="Times New Roman" w:hAnsi="Times New Roman"/>
          <w:b/>
          <w:spacing w:val="40"/>
          <w:sz w:val="32"/>
          <w:szCs w:val="32"/>
        </w:rPr>
      </w:pPr>
    </w:p>
    <w:p w:rsidR="003C18F1" w:rsidRPr="00AF670B" w:rsidRDefault="003C18F1" w:rsidP="003C18F1">
      <w:pPr>
        <w:spacing w:after="0" w:line="240" w:lineRule="auto"/>
        <w:ind w:left="142" w:hanging="720"/>
        <w:jc w:val="center"/>
        <w:rPr>
          <w:rFonts w:ascii="Times New Roman" w:eastAsia="Times New Roman" w:hAnsi="Times New Roman"/>
          <w:b/>
          <w:spacing w:val="40"/>
          <w:sz w:val="32"/>
          <w:szCs w:val="32"/>
        </w:rPr>
      </w:pPr>
    </w:p>
    <w:p w:rsidR="003C18F1" w:rsidRPr="00AF670B" w:rsidRDefault="003C18F1" w:rsidP="003C18F1">
      <w:pPr>
        <w:tabs>
          <w:tab w:val="left" w:pos="7950"/>
        </w:tabs>
        <w:spacing w:after="0" w:line="240" w:lineRule="auto"/>
        <w:ind w:left="142" w:hanging="720"/>
        <w:rPr>
          <w:rFonts w:ascii="Times New Roman" w:eastAsia="Times New Roman" w:hAnsi="Times New Roman"/>
          <w:b/>
          <w:spacing w:val="40"/>
          <w:sz w:val="32"/>
          <w:szCs w:val="32"/>
        </w:rPr>
      </w:pPr>
      <w:r w:rsidRPr="00AF670B">
        <w:rPr>
          <w:rFonts w:ascii="Times New Roman" w:eastAsia="Times New Roman" w:hAnsi="Times New Roman"/>
          <w:b/>
          <w:spacing w:val="40"/>
          <w:sz w:val="32"/>
          <w:szCs w:val="32"/>
        </w:rPr>
        <w:tab/>
      </w:r>
      <w:r w:rsidRPr="00AF670B">
        <w:rPr>
          <w:rFonts w:ascii="Times New Roman" w:eastAsia="Times New Roman" w:hAnsi="Times New Roman"/>
          <w:b/>
          <w:spacing w:val="40"/>
          <w:sz w:val="32"/>
          <w:szCs w:val="32"/>
        </w:rPr>
        <w:tab/>
      </w:r>
    </w:p>
    <w:p w:rsidR="003C18F1" w:rsidRPr="00AF670B" w:rsidRDefault="003C18F1" w:rsidP="003C18F1">
      <w:pPr>
        <w:tabs>
          <w:tab w:val="left" w:pos="7950"/>
        </w:tabs>
        <w:spacing w:after="0" w:line="240" w:lineRule="auto"/>
        <w:ind w:left="142" w:hanging="720"/>
        <w:rPr>
          <w:rFonts w:ascii="Times New Roman" w:eastAsia="Times New Roman" w:hAnsi="Times New Roman"/>
          <w:b/>
          <w:spacing w:val="40"/>
          <w:sz w:val="32"/>
          <w:szCs w:val="32"/>
        </w:rPr>
      </w:pPr>
    </w:p>
    <w:p w:rsidR="003C18F1" w:rsidRPr="00AF670B" w:rsidRDefault="003C18F1" w:rsidP="003C18F1">
      <w:pPr>
        <w:tabs>
          <w:tab w:val="left" w:pos="7950"/>
        </w:tabs>
        <w:spacing w:after="0" w:line="240" w:lineRule="auto"/>
        <w:ind w:left="142" w:hanging="720"/>
        <w:rPr>
          <w:rFonts w:ascii="Times New Roman" w:eastAsia="Times New Roman" w:hAnsi="Times New Roman"/>
          <w:b/>
          <w:spacing w:val="40"/>
          <w:sz w:val="32"/>
          <w:szCs w:val="32"/>
        </w:rPr>
      </w:pPr>
    </w:p>
    <w:p w:rsidR="003C18F1" w:rsidRPr="00AF670B" w:rsidRDefault="003C18F1" w:rsidP="003C18F1">
      <w:pPr>
        <w:tabs>
          <w:tab w:val="left" w:pos="7950"/>
        </w:tabs>
        <w:spacing w:after="0" w:line="240" w:lineRule="auto"/>
        <w:ind w:left="142" w:hanging="720"/>
        <w:rPr>
          <w:rFonts w:ascii="Times New Roman" w:eastAsia="Times New Roman" w:hAnsi="Times New Roman"/>
          <w:b/>
          <w:spacing w:val="40"/>
          <w:sz w:val="32"/>
          <w:szCs w:val="32"/>
        </w:rPr>
      </w:pPr>
    </w:p>
    <w:p w:rsidR="003C18F1" w:rsidRPr="00AF670B" w:rsidRDefault="003C18F1" w:rsidP="003C18F1">
      <w:pPr>
        <w:tabs>
          <w:tab w:val="left" w:pos="7950"/>
        </w:tabs>
        <w:spacing w:after="0" w:line="240" w:lineRule="auto"/>
        <w:ind w:left="142" w:hanging="720"/>
        <w:rPr>
          <w:rFonts w:ascii="Times New Roman" w:eastAsia="Times New Roman" w:hAnsi="Times New Roman"/>
          <w:b/>
          <w:spacing w:val="40"/>
          <w:sz w:val="32"/>
          <w:szCs w:val="32"/>
        </w:rPr>
      </w:pPr>
    </w:p>
    <w:p w:rsidR="003C18F1" w:rsidRDefault="003C18F1" w:rsidP="003C18F1">
      <w:pPr>
        <w:tabs>
          <w:tab w:val="left" w:pos="7950"/>
        </w:tabs>
        <w:spacing w:after="0" w:line="240" w:lineRule="auto"/>
        <w:ind w:left="142" w:hanging="720"/>
        <w:rPr>
          <w:rFonts w:ascii="Times New Roman" w:eastAsia="Times New Roman" w:hAnsi="Times New Roman"/>
          <w:b/>
          <w:spacing w:val="40"/>
          <w:sz w:val="32"/>
          <w:szCs w:val="32"/>
        </w:rPr>
      </w:pPr>
    </w:p>
    <w:p w:rsidR="003C18F1" w:rsidRDefault="003C18F1" w:rsidP="003C18F1">
      <w:pPr>
        <w:tabs>
          <w:tab w:val="left" w:pos="7950"/>
        </w:tabs>
        <w:spacing w:after="0" w:line="240" w:lineRule="auto"/>
        <w:ind w:left="142" w:hanging="720"/>
        <w:rPr>
          <w:rFonts w:ascii="Times New Roman" w:eastAsia="Times New Roman" w:hAnsi="Times New Roman"/>
          <w:b/>
          <w:spacing w:val="40"/>
          <w:sz w:val="32"/>
          <w:szCs w:val="32"/>
        </w:rPr>
      </w:pPr>
    </w:p>
    <w:p w:rsidR="003C18F1" w:rsidRPr="00AF670B" w:rsidRDefault="003C18F1" w:rsidP="003C18F1">
      <w:pPr>
        <w:tabs>
          <w:tab w:val="left" w:pos="7950"/>
        </w:tabs>
        <w:spacing w:after="0" w:line="240" w:lineRule="auto"/>
        <w:ind w:left="142" w:hanging="720"/>
        <w:rPr>
          <w:rFonts w:ascii="Times New Roman" w:eastAsia="Times New Roman" w:hAnsi="Times New Roman"/>
          <w:b/>
          <w:spacing w:val="40"/>
          <w:sz w:val="32"/>
          <w:szCs w:val="32"/>
        </w:rPr>
      </w:pPr>
    </w:p>
    <w:p w:rsidR="003C18F1" w:rsidRPr="000A261C" w:rsidRDefault="003C18F1" w:rsidP="003C18F1">
      <w:pPr>
        <w:spacing w:after="0" w:line="240" w:lineRule="auto"/>
        <w:ind w:left="142" w:hanging="720"/>
        <w:jc w:val="center"/>
        <w:rPr>
          <w:rFonts w:ascii="Times New Roman" w:eastAsia="Times New Roman" w:hAnsi="Times New Roman"/>
          <w:b/>
          <w:color w:val="002060"/>
          <w:sz w:val="24"/>
          <w:szCs w:val="24"/>
        </w:rPr>
      </w:pPr>
      <w:r>
        <w:rPr>
          <w:rFonts w:ascii="Times New Roman" w:eastAsia="Times New Roman" w:hAnsi="Times New Roman"/>
          <w:b/>
          <w:color w:val="002060"/>
          <w:sz w:val="24"/>
          <w:szCs w:val="24"/>
        </w:rPr>
        <w:t>15 септемвр</w:t>
      </w:r>
      <w:r w:rsidRPr="000A261C">
        <w:rPr>
          <w:rFonts w:ascii="Times New Roman" w:eastAsia="Times New Roman" w:hAnsi="Times New Roman"/>
          <w:b/>
          <w:color w:val="002060"/>
          <w:sz w:val="24"/>
          <w:szCs w:val="24"/>
        </w:rPr>
        <w:t>и</w:t>
      </w:r>
      <w:r>
        <w:rPr>
          <w:rFonts w:ascii="Times New Roman" w:eastAsia="Times New Roman" w:hAnsi="Times New Roman"/>
          <w:b/>
          <w:color w:val="002060"/>
          <w:sz w:val="24"/>
          <w:szCs w:val="24"/>
        </w:rPr>
        <w:t xml:space="preserve"> 2017 г.</w:t>
      </w:r>
    </w:p>
    <w:p w:rsidR="003C18F1" w:rsidRPr="00084258" w:rsidRDefault="003C18F1" w:rsidP="003C18F1">
      <w:pPr>
        <w:spacing w:after="0" w:line="240" w:lineRule="auto"/>
        <w:jc w:val="center"/>
        <w:rPr>
          <w:rFonts w:ascii="Times New Roman" w:eastAsia="Times New Roman" w:hAnsi="Times New Roman"/>
          <w:sz w:val="24"/>
          <w:szCs w:val="24"/>
        </w:rPr>
      </w:pPr>
      <w:r>
        <w:rPr>
          <w:rFonts w:ascii="Times New Roman" w:eastAsia="Times New Roman" w:hAnsi="Times New Roman"/>
          <w:b/>
          <w:spacing w:val="40"/>
          <w:sz w:val="24"/>
          <w:szCs w:val="24"/>
        </w:rPr>
        <w:br w:type="page"/>
      </w:r>
    </w:p>
    <w:p w:rsidR="00CD119E" w:rsidRDefault="00CD119E" w:rsidP="00CD119E">
      <w:pPr>
        <w:spacing w:before="120" w:after="120" w:line="240" w:lineRule="auto"/>
        <w:jc w:val="center"/>
        <w:rPr>
          <w:rFonts w:ascii="Times New Roman" w:hAnsi="Times New Roman" w:cs="Times New Roman"/>
          <w:b/>
          <w:sz w:val="24"/>
          <w:szCs w:val="24"/>
        </w:rPr>
      </w:pPr>
      <w:r w:rsidRPr="00CD119E">
        <w:rPr>
          <w:rFonts w:ascii="Times New Roman" w:hAnsi="Times New Roman" w:cs="Times New Roman"/>
          <w:b/>
          <w:sz w:val="24"/>
          <w:szCs w:val="24"/>
        </w:rPr>
        <w:lastRenderedPageBreak/>
        <w:t>СЪДЪРЖАНИЕ</w:t>
      </w:r>
    </w:p>
    <w:p w:rsidR="00F74704" w:rsidRDefault="00F74704" w:rsidP="00CD119E">
      <w:pPr>
        <w:spacing w:before="120" w:after="120" w:line="240" w:lineRule="auto"/>
        <w:jc w:val="center"/>
        <w:rPr>
          <w:rFonts w:ascii="Times New Roman" w:hAnsi="Times New Roman" w:cs="Times New Roman"/>
          <w:b/>
          <w:sz w:val="24"/>
          <w:szCs w:val="24"/>
        </w:rPr>
      </w:pPr>
    </w:p>
    <w:p w:rsidR="0027653D" w:rsidRDefault="0027653D" w:rsidP="0030352B">
      <w:pPr>
        <w:spacing w:after="120" w:line="240" w:lineRule="auto"/>
        <w:rPr>
          <w:rFonts w:ascii="Times New Roman" w:hAnsi="Times New Roman" w:cs="Times New Roman"/>
          <w:sz w:val="20"/>
          <w:szCs w:val="24"/>
        </w:rPr>
      </w:pPr>
      <w:r>
        <w:rPr>
          <w:rFonts w:ascii="Times New Roman" w:hAnsi="Times New Roman" w:cs="Times New Roman"/>
          <w:sz w:val="20"/>
          <w:szCs w:val="24"/>
        </w:rPr>
        <w:t>Списък на таблиците</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 xml:space="preserve">         3</w:t>
      </w:r>
    </w:p>
    <w:p w:rsidR="0027653D" w:rsidRDefault="0027653D" w:rsidP="0030352B">
      <w:pPr>
        <w:spacing w:after="120" w:line="240" w:lineRule="auto"/>
        <w:rPr>
          <w:rFonts w:ascii="Times New Roman" w:hAnsi="Times New Roman" w:cs="Times New Roman"/>
          <w:sz w:val="20"/>
          <w:szCs w:val="24"/>
        </w:rPr>
      </w:pPr>
      <w:r>
        <w:rPr>
          <w:rFonts w:ascii="Times New Roman" w:hAnsi="Times New Roman" w:cs="Times New Roman"/>
          <w:sz w:val="20"/>
          <w:szCs w:val="24"/>
        </w:rPr>
        <w:t>Списък на фигурите</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 xml:space="preserve">         3</w:t>
      </w:r>
    </w:p>
    <w:p w:rsidR="0027653D" w:rsidRDefault="0027653D" w:rsidP="0030352B">
      <w:pPr>
        <w:spacing w:after="120" w:line="240" w:lineRule="auto"/>
        <w:rPr>
          <w:rFonts w:ascii="Times New Roman" w:hAnsi="Times New Roman" w:cs="Times New Roman"/>
          <w:sz w:val="20"/>
          <w:szCs w:val="24"/>
        </w:rPr>
      </w:pPr>
      <w:r>
        <w:rPr>
          <w:rFonts w:ascii="Times New Roman" w:hAnsi="Times New Roman" w:cs="Times New Roman"/>
          <w:sz w:val="20"/>
          <w:szCs w:val="24"/>
        </w:rPr>
        <w:t>Списък на използваните съкращения</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 xml:space="preserve">         4</w:t>
      </w:r>
    </w:p>
    <w:p w:rsidR="0027653D" w:rsidRDefault="0027653D" w:rsidP="0030352B">
      <w:pPr>
        <w:spacing w:after="120" w:line="240" w:lineRule="auto"/>
        <w:rPr>
          <w:rFonts w:ascii="Times New Roman" w:hAnsi="Times New Roman" w:cs="Times New Roman"/>
          <w:sz w:val="20"/>
          <w:szCs w:val="24"/>
        </w:rPr>
      </w:pPr>
      <w:r w:rsidRPr="0027653D">
        <w:rPr>
          <w:rFonts w:ascii="Times New Roman" w:hAnsi="Times New Roman" w:cs="Times New Roman"/>
          <w:sz w:val="20"/>
          <w:szCs w:val="24"/>
        </w:rPr>
        <w:t>Въведение</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 xml:space="preserve">         5</w:t>
      </w:r>
    </w:p>
    <w:p w:rsidR="00B04654" w:rsidRPr="00B04654" w:rsidRDefault="00B04654" w:rsidP="0030352B">
      <w:pPr>
        <w:spacing w:after="120" w:line="240" w:lineRule="auto"/>
        <w:rPr>
          <w:rFonts w:ascii="Times New Roman" w:hAnsi="Times New Roman" w:cs="Times New Roman"/>
          <w:sz w:val="14"/>
          <w:szCs w:val="24"/>
        </w:rPr>
      </w:pPr>
      <w:r w:rsidRPr="00B04654">
        <w:rPr>
          <w:rFonts w:ascii="Times New Roman" w:hAnsi="Times New Roman" w:cs="Times New Roman"/>
          <w:smallCaps/>
          <w:sz w:val="20"/>
          <w:szCs w:val="24"/>
        </w:rPr>
        <w:t>Дейност V. „Анализ на възможността проектът АЕЦ „Белене“ да бъде реализиран на пазарен принцип и разработване на вариант за отделяне на активите и пасивите на НЕК, свързани с проекта „АЕЦ „Белене“, в отделно търговско дружество и провеждане на последваща процедура по реда на Закона за приватизация и следприватизационен контрол”</w:t>
      </w:r>
      <w:r>
        <w:rPr>
          <w:rFonts w:ascii="Times New Roman" w:hAnsi="Times New Roman" w:cs="Times New Roman"/>
          <w:smallCaps/>
          <w:sz w:val="20"/>
          <w:szCs w:val="24"/>
        </w:rPr>
        <w:tab/>
      </w:r>
      <w:r>
        <w:rPr>
          <w:rFonts w:ascii="Times New Roman" w:hAnsi="Times New Roman" w:cs="Times New Roman"/>
          <w:smallCaps/>
          <w:sz w:val="20"/>
          <w:szCs w:val="24"/>
        </w:rPr>
        <w:tab/>
      </w:r>
      <w:r>
        <w:rPr>
          <w:rFonts w:ascii="Times New Roman" w:hAnsi="Times New Roman" w:cs="Times New Roman"/>
          <w:smallCaps/>
          <w:sz w:val="20"/>
          <w:szCs w:val="24"/>
        </w:rPr>
        <w:tab/>
      </w:r>
      <w:r>
        <w:rPr>
          <w:rFonts w:ascii="Times New Roman" w:hAnsi="Times New Roman" w:cs="Times New Roman"/>
          <w:smallCaps/>
          <w:sz w:val="20"/>
          <w:szCs w:val="24"/>
        </w:rPr>
        <w:tab/>
        <w:t xml:space="preserve">           8</w:t>
      </w:r>
    </w:p>
    <w:p w:rsidR="00F74704" w:rsidRPr="00F74704" w:rsidRDefault="0097530B" w:rsidP="0030352B">
      <w:pPr>
        <w:pStyle w:val="TOC1"/>
        <w:tabs>
          <w:tab w:val="left" w:pos="440"/>
          <w:tab w:val="right" w:pos="9062"/>
        </w:tabs>
        <w:spacing w:before="0" w:after="120" w:line="240" w:lineRule="auto"/>
        <w:rPr>
          <w:rFonts w:ascii="Times New Roman" w:hAnsi="Times New Roman" w:cs="Times New Roman"/>
          <w:b w:val="0"/>
          <w:bCs w:val="0"/>
          <w:i w:val="0"/>
          <w:iCs w:val="0"/>
          <w:noProof/>
          <w:sz w:val="20"/>
          <w:szCs w:val="20"/>
        </w:rPr>
      </w:pPr>
      <w:r w:rsidRPr="00F74704">
        <w:rPr>
          <w:rFonts w:ascii="Times New Roman" w:hAnsi="Times New Roman" w:cs="Times New Roman"/>
          <w:b w:val="0"/>
          <w:i w:val="0"/>
          <w:sz w:val="20"/>
          <w:szCs w:val="20"/>
        </w:rPr>
        <w:fldChar w:fldCharType="begin"/>
      </w:r>
      <w:r w:rsidR="00F74704" w:rsidRPr="00F74704">
        <w:rPr>
          <w:rFonts w:ascii="Times New Roman" w:hAnsi="Times New Roman" w:cs="Times New Roman"/>
          <w:b w:val="0"/>
          <w:i w:val="0"/>
          <w:sz w:val="20"/>
          <w:szCs w:val="20"/>
        </w:rPr>
        <w:instrText xml:space="preserve"> TOC \o "1-3" \h \z \u </w:instrText>
      </w:r>
      <w:r w:rsidRPr="00F74704">
        <w:rPr>
          <w:rFonts w:ascii="Times New Roman" w:hAnsi="Times New Roman" w:cs="Times New Roman"/>
          <w:b w:val="0"/>
          <w:i w:val="0"/>
          <w:sz w:val="20"/>
          <w:szCs w:val="20"/>
        </w:rPr>
        <w:fldChar w:fldCharType="separate"/>
      </w:r>
      <w:hyperlink w:anchor="_Toc492991323" w:history="1">
        <w:r w:rsidR="00F74704" w:rsidRPr="00F74704">
          <w:rPr>
            <w:rStyle w:val="Hyperlink"/>
            <w:rFonts w:ascii="Times New Roman" w:hAnsi="Times New Roman" w:cs="Times New Roman"/>
            <w:b w:val="0"/>
            <w:i w:val="0"/>
            <w:noProof/>
            <w:sz w:val="20"/>
            <w:szCs w:val="20"/>
          </w:rPr>
          <w:t>1.</w:t>
        </w:r>
        <w:r w:rsidR="00F74704" w:rsidRPr="00F74704">
          <w:rPr>
            <w:rFonts w:ascii="Times New Roman" w:hAnsi="Times New Roman" w:cs="Times New Roman"/>
            <w:b w:val="0"/>
            <w:bCs w:val="0"/>
            <w:i w:val="0"/>
            <w:iCs w:val="0"/>
            <w:noProof/>
            <w:sz w:val="20"/>
            <w:szCs w:val="20"/>
          </w:rPr>
          <w:tab/>
        </w:r>
        <w:r w:rsidR="00F74704" w:rsidRPr="00F74704">
          <w:rPr>
            <w:rStyle w:val="Hyperlink"/>
            <w:rFonts w:ascii="Times New Roman" w:hAnsi="Times New Roman" w:cs="Times New Roman"/>
            <w:b w:val="0"/>
            <w:i w:val="0"/>
            <w:noProof/>
            <w:sz w:val="20"/>
            <w:szCs w:val="20"/>
          </w:rPr>
          <w:t>Поддейност V.1. Технико-икономически и правен анализ на възможностите за използване на придобитото оборудване с дълъг цикъл на производство за изграждане на атомна електроцентрала на площадка „Белене“ на пазарен принцип</w:t>
        </w:r>
        <w:r w:rsidR="00F74704" w:rsidRPr="00F74704">
          <w:rPr>
            <w:rFonts w:ascii="Times New Roman" w:hAnsi="Times New Roman" w:cs="Times New Roman"/>
            <w:b w:val="0"/>
            <w:i w:val="0"/>
            <w:noProof/>
            <w:webHidden/>
            <w:sz w:val="20"/>
            <w:szCs w:val="20"/>
          </w:rPr>
          <w:tab/>
        </w:r>
        <w:r w:rsidRPr="00F74704">
          <w:rPr>
            <w:rFonts w:ascii="Times New Roman" w:hAnsi="Times New Roman" w:cs="Times New Roman"/>
            <w:b w:val="0"/>
            <w:i w:val="0"/>
            <w:noProof/>
            <w:webHidden/>
            <w:sz w:val="20"/>
            <w:szCs w:val="20"/>
          </w:rPr>
          <w:fldChar w:fldCharType="begin"/>
        </w:r>
        <w:r w:rsidR="00F74704" w:rsidRPr="00F74704">
          <w:rPr>
            <w:rFonts w:ascii="Times New Roman" w:hAnsi="Times New Roman" w:cs="Times New Roman"/>
            <w:b w:val="0"/>
            <w:i w:val="0"/>
            <w:noProof/>
            <w:webHidden/>
            <w:sz w:val="20"/>
            <w:szCs w:val="20"/>
          </w:rPr>
          <w:instrText xml:space="preserve"> PAGEREF _Toc492991323 \h </w:instrText>
        </w:r>
        <w:r w:rsidRPr="00F74704">
          <w:rPr>
            <w:rFonts w:ascii="Times New Roman" w:hAnsi="Times New Roman" w:cs="Times New Roman"/>
            <w:b w:val="0"/>
            <w:i w:val="0"/>
            <w:noProof/>
            <w:webHidden/>
            <w:sz w:val="20"/>
            <w:szCs w:val="20"/>
          </w:rPr>
        </w:r>
        <w:r w:rsidRPr="00F74704">
          <w:rPr>
            <w:rFonts w:ascii="Times New Roman" w:hAnsi="Times New Roman" w:cs="Times New Roman"/>
            <w:b w:val="0"/>
            <w:i w:val="0"/>
            <w:noProof/>
            <w:webHidden/>
            <w:sz w:val="20"/>
            <w:szCs w:val="20"/>
          </w:rPr>
          <w:fldChar w:fldCharType="separate"/>
        </w:r>
        <w:r w:rsidR="00C73CD5">
          <w:rPr>
            <w:rFonts w:ascii="Times New Roman" w:hAnsi="Times New Roman" w:cs="Times New Roman"/>
            <w:b w:val="0"/>
            <w:i w:val="0"/>
            <w:noProof/>
            <w:webHidden/>
            <w:sz w:val="20"/>
            <w:szCs w:val="20"/>
          </w:rPr>
          <w:t>9</w:t>
        </w:r>
        <w:r w:rsidRPr="00F74704">
          <w:rPr>
            <w:rFonts w:ascii="Times New Roman" w:hAnsi="Times New Roman" w:cs="Times New Roman"/>
            <w:b w:val="0"/>
            <w:i w:val="0"/>
            <w:noProof/>
            <w:webHidden/>
            <w:sz w:val="20"/>
            <w:szCs w:val="20"/>
          </w:rPr>
          <w:fldChar w:fldCharType="end"/>
        </w:r>
      </w:hyperlink>
    </w:p>
    <w:p w:rsidR="00F74704" w:rsidRPr="00F74704" w:rsidRDefault="009C1452" w:rsidP="0030352B">
      <w:pPr>
        <w:pStyle w:val="TOC2"/>
        <w:tabs>
          <w:tab w:val="left" w:pos="880"/>
          <w:tab w:val="right" w:pos="9062"/>
        </w:tabs>
        <w:spacing w:before="0" w:after="120" w:line="240" w:lineRule="auto"/>
        <w:rPr>
          <w:rFonts w:ascii="Times New Roman" w:hAnsi="Times New Roman" w:cs="Times New Roman"/>
          <w:b w:val="0"/>
          <w:bCs w:val="0"/>
          <w:noProof/>
          <w:sz w:val="20"/>
          <w:szCs w:val="20"/>
        </w:rPr>
      </w:pPr>
      <w:hyperlink w:anchor="_Toc492991324" w:history="1">
        <w:r w:rsidR="00F74704" w:rsidRPr="00F74704">
          <w:rPr>
            <w:rStyle w:val="Hyperlink"/>
            <w:rFonts w:ascii="Times New Roman" w:hAnsi="Times New Roman" w:cs="Times New Roman"/>
            <w:b w:val="0"/>
            <w:noProof/>
            <w:sz w:val="20"/>
            <w:szCs w:val="20"/>
          </w:rPr>
          <w:t>1.1.</w:t>
        </w:r>
        <w:r w:rsidR="00F74704" w:rsidRPr="00F74704">
          <w:rPr>
            <w:rFonts w:ascii="Times New Roman" w:hAnsi="Times New Roman" w:cs="Times New Roman"/>
            <w:b w:val="0"/>
            <w:bCs w:val="0"/>
            <w:noProof/>
            <w:sz w:val="20"/>
            <w:szCs w:val="20"/>
          </w:rPr>
          <w:tab/>
        </w:r>
        <w:r w:rsidR="00F74704" w:rsidRPr="00F74704">
          <w:rPr>
            <w:rStyle w:val="Hyperlink"/>
            <w:rFonts w:ascii="Times New Roman" w:hAnsi="Times New Roman" w:cs="Times New Roman"/>
            <w:b w:val="0"/>
            <w:noProof/>
            <w:sz w:val="20"/>
            <w:szCs w:val="20"/>
          </w:rPr>
          <w:t>Поддейност V.1.1. Техническите параметри на оборудване придобито въз основа на решението по арбитражно дело ICC Case 18086/GZ/MHM и съществуващите в НЕК / на площадка „Белене“ активи, свързани с Проект „АЕЦ Белене“</w:t>
        </w:r>
        <w:r w:rsidR="00F74704" w:rsidRPr="00F74704">
          <w:rPr>
            <w:rFonts w:ascii="Times New Roman" w:hAnsi="Times New Roman" w:cs="Times New Roman"/>
            <w:b w:val="0"/>
            <w:noProof/>
            <w:webHidden/>
            <w:sz w:val="20"/>
            <w:szCs w:val="20"/>
          </w:rPr>
          <w:tab/>
        </w:r>
        <w:r w:rsidR="0097530B" w:rsidRPr="00F74704">
          <w:rPr>
            <w:rFonts w:ascii="Times New Roman" w:hAnsi="Times New Roman" w:cs="Times New Roman"/>
            <w:b w:val="0"/>
            <w:noProof/>
            <w:webHidden/>
            <w:sz w:val="20"/>
            <w:szCs w:val="20"/>
          </w:rPr>
          <w:fldChar w:fldCharType="begin"/>
        </w:r>
        <w:r w:rsidR="00F74704" w:rsidRPr="00F74704">
          <w:rPr>
            <w:rFonts w:ascii="Times New Roman" w:hAnsi="Times New Roman" w:cs="Times New Roman"/>
            <w:b w:val="0"/>
            <w:noProof/>
            <w:webHidden/>
            <w:sz w:val="20"/>
            <w:szCs w:val="20"/>
          </w:rPr>
          <w:instrText xml:space="preserve"> PAGEREF _Toc492991324 \h </w:instrText>
        </w:r>
        <w:r w:rsidR="0097530B" w:rsidRPr="00F74704">
          <w:rPr>
            <w:rFonts w:ascii="Times New Roman" w:hAnsi="Times New Roman" w:cs="Times New Roman"/>
            <w:b w:val="0"/>
            <w:noProof/>
            <w:webHidden/>
            <w:sz w:val="20"/>
            <w:szCs w:val="20"/>
          </w:rPr>
        </w:r>
        <w:r w:rsidR="0097530B" w:rsidRPr="00F74704">
          <w:rPr>
            <w:rFonts w:ascii="Times New Roman" w:hAnsi="Times New Roman" w:cs="Times New Roman"/>
            <w:b w:val="0"/>
            <w:noProof/>
            <w:webHidden/>
            <w:sz w:val="20"/>
            <w:szCs w:val="20"/>
          </w:rPr>
          <w:fldChar w:fldCharType="separate"/>
        </w:r>
        <w:r w:rsidR="00C73CD5">
          <w:rPr>
            <w:rFonts w:ascii="Times New Roman" w:hAnsi="Times New Roman" w:cs="Times New Roman"/>
            <w:b w:val="0"/>
            <w:noProof/>
            <w:webHidden/>
            <w:sz w:val="20"/>
            <w:szCs w:val="20"/>
          </w:rPr>
          <w:t>9</w:t>
        </w:r>
        <w:r w:rsidR="0097530B" w:rsidRPr="00F74704">
          <w:rPr>
            <w:rFonts w:ascii="Times New Roman" w:hAnsi="Times New Roman" w:cs="Times New Roman"/>
            <w:b w:val="0"/>
            <w:noProof/>
            <w:webHidden/>
            <w:sz w:val="20"/>
            <w:szCs w:val="20"/>
          </w:rPr>
          <w:fldChar w:fldCharType="end"/>
        </w:r>
      </w:hyperlink>
    </w:p>
    <w:p w:rsidR="00F74704" w:rsidRPr="00F74704" w:rsidRDefault="009C1452" w:rsidP="0030352B">
      <w:pPr>
        <w:pStyle w:val="TOC2"/>
        <w:tabs>
          <w:tab w:val="left" w:pos="880"/>
          <w:tab w:val="right" w:pos="9062"/>
        </w:tabs>
        <w:spacing w:before="0" w:after="120" w:line="240" w:lineRule="auto"/>
        <w:rPr>
          <w:rFonts w:ascii="Times New Roman" w:hAnsi="Times New Roman" w:cs="Times New Roman"/>
          <w:b w:val="0"/>
          <w:bCs w:val="0"/>
          <w:noProof/>
          <w:sz w:val="20"/>
          <w:szCs w:val="20"/>
        </w:rPr>
      </w:pPr>
      <w:hyperlink w:anchor="_Toc492991325" w:history="1">
        <w:r w:rsidR="00F74704" w:rsidRPr="00F74704">
          <w:rPr>
            <w:rStyle w:val="Hyperlink"/>
            <w:rFonts w:ascii="Times New Roman" w:hAnsi="Times New Roman" w:cs="Times New Roman"/>
            <w:b w:val="0"/>
            <w:noProof/>
            <w:sz w:val="20"/>
            <w:szCs w:val="20"/>
          </w:rPr>
          <w:t>1.2.</w:t>
        </w:r>
        <w:r w:rsidR="00F74704" w:rsidRPr="00F74704">
          <w:rPr>
            <w:rFonts w:ascii="Times New Roman" w:hAnsi="Times New Roman" w:cs="Times New Roman"/>
            <w:b w:val="0"/>
            <w:bCs w:val="0"/>
            <w:noProof/>
            <w:sz w:val="20"/>
            <w:szCs w:val="20"/>
          </w:rPr>
          <w:tab/>
        </w:r>
        <w:r w:rsidR="00F74704" w:rsidRPr="00F74704">
          <w:rPr>
            <w:rStyle w:val="Hyperlink"/>
            <w:rFonts w:ascii="Times New Roman" w:hAnsi="Times New Roman" w:cs="Times New Roman"/>
            <w:b w:val="0"/>
            <w:noProof/>
            <w:sz w:val="20"/>
            <w:szCs w:val="20"/>
          </w:rPr>
          <w:t>Поддейност V.1.2. Настоящ енергиен баланс на ниво система/предприятие и прогнози за производство, вътрешно потребление и износ/внос, с цел преценка на необходимостта от изграждане на нова ядрена мощност АЕЦ „Белене“</w:t>
        </w:r>
        <w:r w:rsidR="00F74704" w:rsidRPr="00F74704">
          <w:rPr>
            <w:rFonts w:ascii="Times New Roman" w:hAnsi="Times New Roman" w:cs="Times New Roman"/>
            <w:b w:val="0"/>
            <w:noProof/>
            <w:webHidden/>
            <w:sz w:val="20"/>
            <w:szCs w:val="20"/>
          </w:rPr>
          <w:tab/>
        </w:r>
        <w:r w:rsidR="0097530B" w:rsidRPr="00F74704">
          <w:rPr>
            <w:rFonts w:ascii="Times New Roman" w:hAnsi="Times New Roman" w:cs="Times New Roman"/>
            <w:b w:val="0"/>
            <w:noProof/>
            <w:webHidden/>
            <w:sz w:val="20"/>
            <w:szCs w:val="20"/>
          </w:rPr>
          <w:fldChar w:fldCharType="begin"/>
        </w:r>
        <w:r w:rsidR="00F74704" w:rsidRPr="00F74704">
          <w:rPr>
            <w:rFonts w:ascii="Times New Roman" w:hAnsi="Times New Roman" w:cs="Times New Roman"/>
            <w:b w:val="0"/>
            <w:noProof/>
            <w:webHidden/>
            <w:sz w:val="20"/>
            <w:szCs w:val="20"/>
          </w:rPr>
          <w:instrText xml:space="preserve"> PAGEREF _Toc492991325 \h </w:instrText>
        </w:r>
        <w:r w:rsidR="0097530B" w:rsidRPr="00F74704">
          <w:rPr>
            <w:rFonts w:ascii="Times New Roman" w:hAnsi="Times New Roman" w:cs="Times New Roman"/>
            <w:b w:val="0"/>
            <w:noProof/>
            <w:webHidden/>
            <w:sz w:val="20"/>
            <w:szCs w:val="20"/>
          </w:rPr>
        </w:r>
        <w:r w:rsidR="0097530B" w:rsidRPr="00F74704">
          <w:rPr>
            <w:rFonts w:ascii="Times New Roman" w:hAnsi="Times New Roman" w:cs="Times New Roman"/>
            <w:b w:val="0"/>
            <w:noProof/>
            <w:webHidden/>
            <w:sz w:val="20"/>
            <w:szCs w:val="20"/>
          </w:rPr>
          <w:fldChar w:fldCharType="separate"/>
        </w:r>
        <w:r w:rsidR="00C73CD5">
          <w:rPr>
            <w:rFonts w:ascii="Times New Roman" w:hAnsi="Times New Roman" w:cs="Times New Roman"/>
            <w:b w:val="0"/>
            <w:noProof/>
            <w:webHidden/>
            <w:sz w:val="20"/>
            <w:szCs w:val="20"/>
          </w:rPr>
          <w:t>13</w:t>
        </w:r>
        <w:r w:rsidR="0097530B" w:rsidRPr="00F74704">
          <w:rPr>
            <w:rFonts w:ascii="Times New Roman" w:hAnsi="Times New Roman" w:cs="Times New Roman"/>
            <w:b w:val="0"/>
            <w:noProof/>
            <w:webHidden/>
            <w:sz w:val="20"/>
            <w:szCs w:val="20"/>
          </w:rPr>
          <w:fldChar w:fldCharType="end"/>
        </w:r>
      </w:hyperlink>
    </w:p>
    <w:p w:rsidR="00F74704" w:rsidRPr="00F74704" w:rsidRDefault="009C1452" w:rsidP="0030352B">
      <w:pPr>
        <w:pStyle w:val="TOC2"/>
        <w:tabs>
          <w:tab w:val="left" w:pos="880"/>
          <w:tab w:val="right" w:pos="9062"/>
        </w:tabs>
        <w:spacing w:before="0" w:after="120" w:line="240" w:lineRule="auto"/>
        <w:rPr>
          <w:rFonts w:ascii="Times New Roman" w:hAnsi="Times New Roman" w:cs="Times New Roman"/>
          <w:b w:val="0"/>
          <w:bCs w:val="0"/>
          <w:noProof/>
          <w:sz w:val="20"/>
          <w:szCs w:val="20"/>
        </w:rPr>
      </w:pPr>
      <w:hyperlink w:anchor="_Toc492991326" w:history="1">
        <w:r w:rsidR="00F74704" w:rsidRPr="00F74704">
          <w:rPr>
            <w:rStyle w:val="Hyperlink"/>
            <w:rFonts w:ascii="Times New Roman" w:hAnsi="Times New Roman" w:cs="Times New Roman"/>
            <w:b w:val="0"/>
            <w:noProof/>
            <w:sz w:val="20"/>
            <w:szCs w:val="20"/>
          </w:rPr>
          <w:t>1.3.</w:t>
        </w:r>
        <w:r w:rsidR="00F74704" w:rsidRPr="00F74704">
          <w:rPr>
            <w:rFonts w:ascii="Times New Roman" w:hAnsi="Times New Roman" w:cs="Times New Roman"/>
            <w:b w:val="0"/>
            <w:bCs w:val="0"/>
            <w:noProof/>
            <w:sz w:val="20"/>
            <w:szCs w:val="20"/>
          </w:rPr>
          <w:tab/>
        </w:r>
        <w:r w:rsidR="00F74704" w:rsidRPr="00F74704">
          <w:rPr>
            <w:rStyle w:val="Hyperlink"/>
            <w:rFonts w:ascii="Times New Roman" w:hAnsi="Times New Roman" w:cs="Times New Roman"/>
            <w:b w:val="0"/>
            <w:noProof/>
            <w:sz w:val="20"/>
            <w:szCs w:val="20"/>
          </w:rPr>
          <w:t>Поддейност V.1.3. Международна, европейска и национална правно-регулаторна рамка по отношение изграждането на нова ядрена мощност</w:t>
        </w:r>
        <w:r w:rsidR="00F74704" w:rsidRPr="00F74704">
          <w:rPr>
            <w:rFonts w:ascii="Times New Roman" w:hAnsi="Times New Roman" w:cs="Times New Roman"/>
            <w:b w:val="0"/>
            <w:noProof/>
            <w:webHidden/>
            <w:sz w:val="20"/>
            <w:szCs w:val="20"/>
          </w:rPr>
          <w:tab/>
        </w:r>
        <w:r w:rsidR="0097530B" w:rsidRPr="00F74704">
          <w:rPr>
            <w:rFonts w:ascii="Times New Roman" w:hAnsi="Times New Roman" w:cs="Times New Roman"/>
            <w:b w:val="0"/>
            <w:noProof/>
            <w:webHidden/>
            <w:sz w:val="20"/>
            <w:szCs w:val="20"/>
          </w:rPr>
          <w:fldChar w:fldCharType="begin"/>
        </w:r>
        <w:r w:rsidR="00F74704" w:rsidRPr="00F74704">
          <w:rPr>
            <w:rFonts w:ascii="Times New Roman" w:hAnsi="Times New Roman" w:cs="Times New Roman"/>
            <w:b w:val="0"/>
            <w:noProof/>
            <w:webHidden/>
            <w:sz w:val="20"/>
            <w:szCs w:val="20"/>
          </w:rPr>
          <w:instrText xml:space="preserve"> PAGEREF _Toc492991326 \h </w:instrText>
        </w:r>
        <w:r w:rsidR="0097530B" w:rsidRPr="00F74704">
          <w:rPr>
            <w:rFonts w:ascii="Times New Roman" w:hAnsi="Times New Roman" w:cs="Times New Roman"/>
            <w:b w:val="0"/>
            <w:noProof/>
            <w:webHidden/>
            <w:sz w:val="20"/>
            <w:szCs w:val="20"/>
          </w:rPr>
        </w:r>
        <w:r w:rsidR="0097530B" w:rsidRPr="00F74704">
          <w:rPr>
            <w:rFonts w:ascii="Times New Roman" w:hAnsi="Times New Roman" w:cs="Times New Roman"/>
            <w:b w:val="0"/>
            <w:noProof/>
            <w:webHidden/>
            <w:sz w:val="20"/>
            <w:szCs w:val="20"/>
          </w:rPr>
          <w:fldChar w:fldCharType="separate"/>
        </w:r>
        <w:r w:rsidR="00C73CD5">
          <w:rPr>
            <w:rFonts w:ascii="Times New Roman" w:hAnsi="Times New Roman" w:cs="Times New Roman"/>
            <w:b w:val="0"/>
            <w:noProof/>
            <w:webHidden/>
            <w:sz w:val="20"/>
            <w:szCs w:val="20"/>
          </w:rPr>
          <w:t>15</w:t>
        </w:r>
        <w:r w:rsidR="0097530B" w:rsidRPr="00F74704">
          <w:rPr>
            <w:rFonts w:ascii="Times New Roman" w:hAnsi="Times New Roman" w:cs="Times New Roman"/>
            <w:b w:val="0"/>
            <w:noProof/>
            <w:webHidden/>
            <w:sz w:val="20"/>
            <w:szCs w:val="20"/>
          </w:rPr>
          <w:fldChar w:fldCharType="end"/>
        </w:r>
      </w:hyperlink>
    </w:p>
    <w:p w:rsidR="00F74704" w:rsidRPr="00F74704" w:rsidRDefault="009C1452" w:rsidP="0030352B">
      <w:pPr>
        <w:pStyle w:val="TOC3"/>
        <w:tabs>
          <w:tab w:val="left" w:pos="1320"/>
          <w:tab w:val="right" w:pos="9062"/>
        </w:tabs>
        <w:spacing w:after="120" w:line="240" w:lineRule="auto"/>
        <w:rPr>
          <w:rFonts w:ascii="Times New Roman" w:hAnsi="Times New Roman" w:cs="Times New Roman"/>
          <w:noProof/>
        </w:rPr>
      </w:pPr>
      <w:hyperlink w:anchor="_Toc492991327" w:history="1">
        <w:r w:rsidR="00F74704" w:rsidRPr="00F74704">
          <w:rPr>
            <w:rStyle w:val="Hyperlink"/>
            <w:rFonts w:ascii="Times New Roman" w:hAnsi="Times New Roman" w:cs="Times New Roman"/>
            <w:noProof/>
          </w:rPr>
          <w:t>1.3.1.</w:t>
        </w:r>
        <w:r w:rsidR="00F74704" w:rsidRPr="00F74704">
          <w:rPr>
            <w:rFonts w:ascii="Times New Roman" w:hAnsi="Times New Roman" w:cs="Times New Roman"/>
            <w:noProof/>
          </w:rPr>
          <w:tab/>
        </w:r>
        <w:r w:rsidR="00F74704" w:rsidRPr="00F74704">
          <w:rPr>
            <w:rStyle w:val="Hyperlink"/>
            <w:rFonts w:ascii="Times New Roman" w:hAnsi="Times New Roman" w:cs="Times New Roman"/>
            <w:noProof/>
          </w:rPr>
          <w:t>Основни документи, свързани с изграждането на нова ядрена мощност</w:t>
        </w:r>
        <w:r w:rsidR="00F74704" w:rsidRPr="00F74704">
          <w:rPr>
            <w:rFonts w:ascii="Times New Roman" w:hAnsi="Times New Roman" w:cs="Times New Roman"/>
            <w:noProof/>
            <w:webHidden/>
          </w:rPr>
          <w:tab/>
        </w:r>
        <w:r w:rsidR="0097530B" w:rsidRPr="00F74704">
          <w:rPr>
            <w:rFonts w:ascii="Times New Roman" w:hAnsi="Times New Roman" w:cs="Times New Roman"/>
            <w:noProof/>
            <w:webHidden/>
          </w:rPr>
          <w:fldChar w:fldCharType="begin"/>
        </w:r>
        <w:r w:rsidR="00F74704" w:rsidRPr="00F74704">
          <w:rPr>
            <w:rFonts w:ascii="Times New Roman" w:hAnsi="Times New Roman" w:cs="Times New Roman"/>
            <w:noProof/>
            <w:webHidden/>
          </w:rPr>
          <w:instrText xml:space="preserve"> PAGEREF _Toc492991327 \h </w:instrText>
        </w:r>
        <w:r w:rsidR="0097530B" w:rsidRPr="00F74704">
          <w:rPr>
            <w:rFonts w:ascii="Times New Roman" w:hAnsi="Times New Roman" w:cs="Times New Roman"/>
            <w:noProof/>
            <w:webHidden/>
          </w:rPr>
        </w:r>
        <w:r w:rsidR="0097530B" w:rsidRPr="00F74704">
          <w:rPr>
            <w:rFonts w:ascii="Times New Roman" w:hAnsi="Times New Roman" w:cs="Times New Roman"/>
            <w:noProof/>
            <w:webHidden/>
          </w:rPr>
          <w:fldChar w:fldCharType="separate"/>
        </w:r>
        <w:r w:rsidR="00C73CD5">
          <w:rPr>
            <w:rFonts w:ascii="Times New Roman" w:hAnsi="Times New Roman" w:cs="Times New Roman"/>
            <w:noProof/>
            <w:webHidden/>
          </w:rPr>
          <w:t>15</w:t>
        </w:r>
        <w:r w:rsidR="0097530B" w:rsidRPr="00F74704">
          <w:rPr>
            <w:rFonts w:ascii="Times New Roman" w:hAnsi="Times New Roman" w:cs="Times New Roman"/>
            <w:noProof/>
            <w:webHidden/>
          </w:rPr>
          <w:fldChar w:fldCharType="end"/>
        </w:r>
      </w:hyperlink>
    </w:p>
    <w:p w:rsidR="00F74704" w:rsidRPr="00F74704" w:rsidRDefault="009C1452" w:rsidP="0030352B">
      <w:pPr>
        <w:pStyle w:val="TOC3"/>
        <w:tabs>
          <w:tab w:val="left" w:pos="1320"/>
          <w:tab w:val="right" w:pos="9062"/>
        </w:tabs>
        <w:spacing w:after="120" w:line="240" w:lineRule="auto"/>
        <w:rPr>
          <w:rFonts w:ascii="Times New Roman" w:hAnsi="Times New Roman" w:cs="Times New Roman"/>
          <w:noProof/>
        </w:rPr>
      </w:pPr>
      <w:hyperlink w:anchor="_Toc492991328" w:history="1">
        <w:r w:rsidR="00F74704" w:rsidRPr="00F74704">
          <w:rPr>
            <w:rStyle w:val="Hyperlink"/>
            <w:rFonts w:ascii="Times New Roman" w:hAnsi="Times New Roman" w:cs="Times New Roman"/>
            <w:noProof/>
          </w:rPr>
          <w:t>1.3.2.</w:t>
        </w:r>
        <w:r w:rsidR="00F74704" w:rsidRPr="00F74704">
          <w:rPr>
            <w:rFonts w:ascii="Times New Roman" w:hAnsi="Times New Roman" w:cs="Times New Roman"/>
            <w:noProof/>
          </w:rPr>
          <w:tab/>
        </w:r>
        <w:r w:rsidR="00F74704" w:rsidRPr="00F74704">
          <w:rPr>
            <w:rStyle w:val="Hyperlink"/>
            <w:rFonts w:ascii="Times New Roman" w:hAnsi="Times New Roman" w:cs="Times New Roman"/>
            <w:noProof/>
          </w:rPr>
          <w:t>Планиране. Решение за изграждане. Лицензионен режим</w:t>
        </w:r>
        <w:r w:rsidR="00F74704" w:rsidRPr="00F74704">
          <w:rPr>
            <w:rFonts w:ascii="Times New Roman" w:hAnsi="Times New Roman" w:cs="Times New Roman"/>
            <w:noProof/>
            <w:webHidden/>
          </w:rPr>
          <w:tab/>
        </w:r>
        <w:r w:rsidR="0097530B" w:rsidRPr="00F74704">
          <w:rPr>
            <w:rFonts w:ascii="Times New Roman" w:hAnsi="Times New Roman" w:cs="Times New Roman"/>
            <w:noProof/>
            <w:webHidden/>
          </w:rPr>
          <w:fldChar w:fldCharType="begin"/>
        </w:r>
        <w:r w:rsidR="00F74704" w:rsidRPr="00F74704">
          <w:rPr>
            <w:rFonts w:ascii="Times New Roman" w:hAnsi="Times New Roman" w:cs="Times New Roman"/>
            <w:noProof/>
            <w:webHidden/>
          </w:rPr>
          <w:instrText xml:space="preserve"> PAGEREF _Toc492991328 \h </w:instrText>
        </w:r>
        <w:r w:rsidR="0097530B" w:rsidRPr="00F74704">
          <w:rPr>
            <w:rFonts w:ascii="Times New Roman" w:hAnsi="Times New Roman" w:cs="Times New Roman"/>
            <w:noProof/>
            <w:webHidden/>
          </w:rPr>
        </w:r>
        <w:r w:rsidR="0097530B" w:rsidRPr="00F74704">
          <w:rPr>
            <w:rFonts w:ascii="Times New Roman" w:hAnsi="Times New Roman" w:cs="Times New Roman"/>
            <w:noProof/>
            <w:webHidden/>
          </w:rPr>
          <w:fldChar w:fldCharType="separate"/>
        </w:r>
        <w:r w:rsidR="00C73CD5">
          <w:rPr>
            <w:rFonts w:ascii="Times New Roman" w:hAnsi="Times New Roman" w:cs="Times New Roman"/>
            <w:noProof/>
            <w:webHidden/>
          </w:rPr>
          <w:t>18</w:t>
        </w:r>
        <w:r w:rsidR="0097530B" w:rsidRPr="00F74704">
          <w:rPr>
            <w:rFonts w:ascii="Times New Roman" w:hAnsi="Times New Roman" w:cs="Times New Roman"/>
            <w:noProof/>
            <w:webHidden/>
          </w:rPr>
          <w:fldChar w:fldCharType="end"/>
        </w:r>
      </w:hyperlink>
    </w:p>
    <w:p w:rsidR="00F74704" w:rsidRPr="00F74704" w:rsidRDefault="009C1452" w:rsidP="0030352B">
      <w:pPr>
        <w:pStyle w:val="TOC3"/>
        <w:tabs>
          <w:tab w:val="left" w:pos="1320"/>
          <w:tab w:val="right" w:pos="9062"/>
        </w:tabs>
        <w:spacing w:after="120" w:line="240" w:lineRule="auto"/>
        <w:rPr>
          <w:rFonts w:ascii="Times New Roman" w:hAnsi="Times New Roman" w:cs="Times New Roman"/>
          <w:noProof/>
        </w:rPr>
      </w:pPr>
      <w:hyperlink w:anchor="_Toc492991329" w:history="1">
        <w:r w:rsidR="00F74704" w:rsidRPr="00F74704">
          <w:rPr>
            <w:rStyle w:val="Hyperlink"/>
            <w:rFonts w:ascii="Times New Roman" w:hAnsi="Times New Roman" w:cs="Times New Roman"/>
            <w:noProof/>
          </w:rPr>
          <w:t>1.3.3.</w:t>
        </w:r>
        <w:r w:rsidR="00F74704" w:rsidRPr="00F74704">
          <w:rPr>
            <w:rFonts w:ascii="Times New Roman" w:hAnsi="Times New Roman" w:cs="Times New Roman"/>
            <w:noProof/>
          </w:rPr>
          <w:tab/>
        </w:r>
        <w:r w:rsidR="00F74704" w:rsidRPr="00F74704">
          <w:rPr>
            <w:rStyle w:val="Hyperlink"/>
            <w:rFonts w:ascii="Times New Roman" w:hAnsi="Times New Roman" w:cs="Times New Roman"/>
            <w:noProof/>
          </w:rPr>
          <w:t>Нотификации</w:t>
        </w:r>
        <w:r w:rsidR="00F74704" w:rsidRPr="00F74704">
          <w:rPr>
            <w:rFonts w:ascii="Times New Roman" w:hAnsi="Times New Roman" w:cs="Times New Roman"/>
            <w:noProof/>
            <w:webHidden/>
          </w:rPr>
          <w:tab/>
        </w:r>
        <w:r w:rsidR="0097530B" w:rsidRPr="00F74704">
          <w:rPr>
            <w:rFonts w:ascii="Times New Roman" w:hAnsi="Times New Roman" w:cs="Times New Roman"/>
            <w:noProof/>
            <w:webHidden/>
          </w:rPr>
          <w:fldChar w:fldCharType="begin"/>
        </w:r>
        <w:r w:rsidR="00F74704" w:rsidRPr="00F74704">
          <w:rPr>
            <w:rFonts w:ascii="Times New Roman" w:hAnsi="Times New Roman" w:cs="Times New Roman"/>
            <w:noProof/>
            <w:webHidden/>
          </w:rPr>
          <w:instrText xml:space="preserve"> PAGEREF _Toc492991329 \h </w:instrText>
        </w:r>
        <w:r w:rsidR="0097530B" w:rsidRPr="00F74704">
          <w:rPr>
            <w:rFonts w:ascii="Times New Roman" w:hAnsi="Times New Roman" w:cs="Times New Roman"/>
            <w:noProof/>
            <w:webHidden/>
          </w:rPr>
        </w:r>
        <w:r w:rsidR="0097530B" w:rsidRPr="00F74704">
          <w:rPr>
            <w:rFonts w:ascii="Times New Roman" w:hAnsi="Times New Roman" w:cs="Times New Roman"/>
            <w:noProof/>
            <w:webHidden/>
          </w:rPr>
          <w:fldChar w:fldCharType="separate"/>
        </w:r>
        <w:r w:rsidR="00C73CD5">
          <w:rPr>
            <w:rFonts w:ascii="Times New Roman" w:hAnsi="Times New Roman" w:cs="Times New Roman"/>
            <w:noProof/>
            <w:webHidden/>
          </w:rPr>
          <w:t>24</w:t>
        </w:r>
        <w:r w:rsidR="0097530B" w:rsidRPr="00F74704">
          <w:rPr>
            <w:rFonts w:ascii="Times New Roman" w:hAnsi="Times New Roman" w:cs="Times New Roman"/>
            <w:noProof/>
            <w:webHidden/>
          </w:rPr>
          <w:fldChar w:fldCharType="end"/>
        </w:r>
      </w:hyperlink>
    </w:p>
    <w:p w:rsidR="00F74704" w:rsidRPr="00F74704" w:rsidRDefault="009C1452" w:rsidP="0030352B">
      <w:pPr>
        <w:pStyle w:val="TOC3"/>
        <w:tabs>
          <w:tab w:val="left" w:pos="1320"/>
          <w:tab w:val="right" w:pos="9062"/>
        </w:tabs>
        <w:spacing w:after="120" w:line="240" w:lineRule="auto"/>
        <w:rPr>
          <w:rFonts w:ascii="Times New Roman" w:hAnsi="Times New Roman" w:cs="Times New Roman"/>
          <w:noProof/>
        </w:rPr>
      </w:pPr>
      <w:hyperlink w:anchor="_Toc492991330" w:history="1">
        <w:r w:rsidR="00F74704" w:rsidRPr="00F74704">
          <w:rPr>
            <w:rStyle w:val="Hyperlink"/>
            <w:rFonts w:ascii="Times New Roman" w:hAnsi="Times New Roman" w:cs="Times New Roman"/>
            <w:noProof/>
          </w:rPr>
          <w:t>1.3.4.</w:t>
        </w:r>
        <w:r w:rsidR="00F74704" w:rsidRPr="00F74704">
          <w:rPr>
            <w:rFonts w:ascii="Times New Roman" w:hAnsi="Times New Roman" w:cs="Times New Roman"/>
            <w:noProof/>
          </w:rPr>
          <w:tab/>
        </w:r>
        <w:r w:rsidR="00F74704" w:rsidRPr="00F74704">
          <w:rPr>
            <w:rStyle w:val="Hyperlink"/>
            <w:rFonts w:ascii="Times New Roman" w:hAnsi="Times New Roman" w:cs="Times New Roman"/>
            <w:noProof/>
          </w:rPr>
          <w:t>Осигуряване безопасността на ядрените централи</w:t>
        </w:r>
        <w:r w:rsidR="00F74704" w:rsidRPr="00F74704">
          <w:rPr>
            <w:rFonts w:ascii="Times New Roman" w:hAnsi="Times New Roman" w:cs="Times New Roman"/>
            <w:noProof/>
            <w:webHidden/>
          </w:rPr>
          <w:tab/>
        </w:r>
        <w:r w:rsidR="0097530B" w:rsidRPr="00F74704">
          <w:rPr>
            <w:rFonts w:ascii="Times New Roman" w:hAnsi="Times New Roman" w:cs="Times New Roman"/>
            <w:noProof/>
            <w:webHidden/>
          </w:rPr>
          <w:fldChar w:fldCharType="begin"/>
        </w:r>
        <w:r w:rsidR="00F74704" w:rsidRPr="00F74704">
          <w:rPr>
            <w:rFonts w:ascii="Times New Roman" w:hAnsi="Times New Roman" w:cs="Times New Roman"/>
            <w:noProof/>
            <w:webHidden/>
          </w:rPr>
          <w:instrText xml:space="preserve"> PAGEREF _Toc492991330 \h </w:instrText>
        </w:r>
        <w:r w:rsidR="0097530B" w:rsidRPr="00F74704">
          <w:rPr>
            <w:rFonts w:ascii="Times New Roman" w:hAnsi="Times New Roman" w:cs="Times New Roman"/>
            <w:noProof/>
            <w:webHidden/>
          </w:rPr>
        </w:r>
        <w:r w:rsidR="0097530B" w:rsidRPr="00F74704">
          <w:rPr>
            <w:rFonts w:ascii="Times New Roman" w:hAnsi="Times New Roman" w:cs="Times New Roman"/>
            <w:noProof/>
            <w:webHidden/>
          </w:rPr>
          <w:fldChar w:fldCharType="separate"/>
        </w:r>
        <w:r w:rsidR="00C73CD5">
          <w:rPr>
            <w:rFonts w:ascii="Times New Roman" w:hAnsi="Times New Roman" w:cs="Times New Roman"/>
            <w:noProof/>
            <w:webHidden/>
          </w:rPr>
          <w:t>25</w:t>
        </w:r>
        <w:r w:rsidR="0097530B" w:rsidRPr="00F74704">
          <w:rPr>
            <w:rFonts w:ascii="Times New Roman" w:hAnsi="Times New Roman" w:cs="Times New Roman"/>
            <w:noProof/>
            <w:webHidden/>
          </w:rPr>
          <w:fldChar w:fldCharType="end"/>
        </w:r>
      </w:hyperlink>
    </w:p>
    <w:p w:rsidR="00F74704" w:rsidRPr="00F74704" w:rsidRDefault="009C1452" w:rsidP="0030352B">
      <w:pPr>
        <w:pStyle w:val="TOC3"/>
        <w:tabs>
          <w:tab w:val="left" w:pos="1320"/>
          <w:tab w:val="right" w:pos="9062"/>
        </w:tabs>
        <w:spacing w:after="120" w:line="240" w:lineRule="auto"/>
        <w:rPr>
          <w:rFonts w:ascii="Times New Roman" w:hAnsi="Times New Roman" w:cs="Times New Roman"/>
          <w:noProof/>
        </w:rPr>
      </w:pPr>
      <w:hyperlink w:anchor="_Toc492991331" w:history="1">
        <w:r w:rsidR="00F74704" w:rsidRPr="00F74704">
          <w:rPr>
            <w:rStyle w:val="Hyperlink"/>
            <w:rFonts w:ascii="Times New Roman" w:hAnsi="Times New Roman" w:cs="Times New Roman"/>
            <w:noProof/>
          </w:rPr>
          <w:t>1.3.5.</w:t>
        </w:r>
        <w:r w:rsidR="00F74704" w:rsidRPr="00F74704">
          <w:rPr>
            <w:rFonts w:ascii="Times New Roman" w:hAnsi="Times New Roman" w:cs="Times New Roman"/>
            <w:noProof/>
          </w:rPr>
          <w:tab/>
        </w:r>
        <w:r w:rsidR="00F74704" w:rsidRPr="00F74704">
          <w:rPr>
            <w:rStyle w:val="Hyperlink"/>
            <w:rFonts w:ascii="Times New Roman" w:hAnsi="Times New Roman" w:cs="Times New Roman"/>
            <w:noProof/>
          </w:rPr>
          <w:t>Отговорност за ядрена вреда</w:t>
        </w:r>
        <w:r w:rsidR="00F74704" w:rsidRPr="00F74704">
          <w:rPr>
            <w:rFonts w:ascii="Times New Roman" w:hAnsi="Times New Roman" w:cs="Times New Roman"/>
            <w:noProof/>
            <w:webHidden/>
          </w:rPr>
          <w:tab/>
        </w:r>
        <w:r w:rsidR="0097530B" w:rsidRPr="00F74704">
          <w:rPr>
            <w:rFonts w:ascii="Times New Roman" w:hAnsi="Times New Roman" w:cs="Times New Roman"/>
            <w:noProof/>
            <w:webHidden/>
          </w:rPr>
          <w:fldChar w:fldCharType="begin"/>
        </w:r>
        <w:r w:rsidR="00F74704" w:rsidRPr="00F74704">
          <w:rPr>
            <w:rFonts w:ascii="Times New Roman" w:hAnsi="Times New Roman" w:cs="Times New Roman"/>
            <w:noProof/>
            <w:webHidden/>
          </w:rPr>
          <w:instrText xml:space="preserve"> PAGEREF _Toc492991331 \h </w:instrText>
        </w:r>
        <w:r w:rsidR="0097530B" w:rsidRPr="00F74704">
          <w:rPr>
            <w:rFonts w:ascii="Times New Roman" w:hAnsi="Times New Roman" w:cs="Times New Roman"/>
            <w:noProof/>
            <w:webHidden/>
          </w:rPr>
        </w:r>
        <w:r w:rsidR="0097530B" w:rsidRPr="00F74704">
          <w:rPr>
            <w:rFonts w:ascii="Times New Roman" w:hAnsi="Times New Roman" w:cs="Times New Roman"/>
            <w:noProof/>
            <w:webHidden/>
          </w:rPr>
          <w:fldChar w:fldCharType="separate"/>
        </w:r>
        <w:r w:rsidR="00C73CD5">
          <w:rPr>
            <w:rFonts w:ascii="Times New Roman" w:hAnsi="Times New Roman" w:cs="Times New Roman"/>
            <w:noProof/>
            <w:webHidden/>
          </w:rPr>
          <w:t>27</w:t>
        </w:r>
        <w:r w:rsidR="0097530B" w:rsidRPr="00F74704">
          <w:rPr>
            <w:rFonts w:ascii="Times New Roman" w:hAnsi="Times New Roman" w:cs="Times New Roman"/>
            <w:noProof/>
            <w:webHidden/>
          </w:rPr>
          <w:fldChar w:fldCharType="end"/>
        </w:r>
      </w:hyperlink>
    </w:p>
    <w:p w:rsidR="00F74704" w:rsidRPr="00F74704" w:rsidRDefault="009C1452" w:rsidP="0030352B">
      <w:pPr>
        <w:pStyle w:val="TOC3"/>
        <w:tabs>
          <w:tab w:val="left" w:pos="1320"/>
          <w:tab w:val="right" w:pos="9062"/>
        </w:tabs>
        <w:spacing w:after="120" w:line="240" w:lineRule="auto"/>
        <w:rPr>
          <w:rFonts w:ascii="Times New Roman" w:hAnsi="Times New Roman" w:cs="Times New Roman"/>
          <w:noProof/>
        </w:rPr>
      </w:pPr>
      <w:hyperlink w:anchor="_Toc492991332" w:history="1">
        <w:r w:rsidR="00F74704" w:rsidRPr="00F74704">
          <w:rPr>
            <w:rStyle w:val="Hyperlink"/>
            <w:rFonts w:ascii="Times New Roman" w:hAnsi="Times New Roman" w:cs="Times New Roman"/>
            <w:noProof/>
          </w:rPr>
          <w:t>1.3.6.</w:t>
        </w:r>
        <w:r w:rsidR="00F74704" w:rsidRPr="00F74704">
          <w:rPr>
            <w:rFonts w:ascii="Times New Roman" w:hAnsi="Times New Roman" w:cs="Times New Roman"/>
            <w:noProof/>
          </w:rPr>
          <w:tab/>
        </w:r>
        <w:r w:rsidR="00F74704" w:rsidRPr="00F74704">
          <w:rPr>
            <w:rStyle w:val="Hyperlink"/>
            <w:rFonts w:ascii="Times New Roman" w:hAnsi="Times New Roman" w:cs="Times New Roman"/>
            <w:noProof/>
          </w:rPr>
          <w:t>Управление на отработено гориво и радиоактивни отпадъци</w:t>
        </w:r>
        <w:r w:rsidR="00F74704" w:rsidRPr="00F74704">
          <w:rPr>
            <w:rFonts w:ascii="Times New Roman" w:hAnsi="Times New Roman" w:cs="Times New Roman"/>
            <w:noProof/>
            <w:webHidden/>
          </w:rPr>
          <w:tab/>
        </w:r>
        <w:r w:rsidR="0097530B" w:rsidRPr="00F74704">
          <w:rPr>
            <w:rFonts w:ascii="Times New Roman" w:hAnsi="Times New Roman" w:cs="Times New Roman"/>
            <w:noProof/>
            <w:webHidden/>
          </w:rPr>
          <w:fldChar w:fldCharType="begin"/>
        </w:r>
        <w:r w:rsidR="00F74704" w:rsidRPr="00F74704">
          <w:rPr>
            <w:rFonts w:ascii="Times New Roman" w:hAnsi="Times New Roman" w:cs="Times New Roman"/>
            <w:noProof/>
            <w:webHidden/>
          </w:rPr>
          <w:instrText xml:space="preserve"> PAGEREF _Toc492991332 \h </w:instrText>
        </w:r>
        <w:r w:rsidR="0097530B" w:rsidRPr="00F74704">
          <w:rPr>
            <w:rFonts w:ascii="Times New Roman" w:hAnsi="Times New Roman" w:cs="Times New Roman"/>
            <w:noProof/>
            <w:webHidden/>
          </w:rPr>
        </w:r>
        <w:r w:rsidR="0097530B" w:rsidRPr="00F74704">
          <w:rPr>
            <w:rFonts w:ascii="Times New Roman" w:hAnsi="Times New Roman" w:cs="Times New Roman"/>
            <w:noProof/>
            <w:webHidden/>
          </w:rPr>
          <w:fldChar w:fldCharType="separate"/>
        </w:r>
        <w:r w:rsidR="00C73CD5">
          <w:rPr>
            <w:rFonts w:ascii="Times New Roman" w:hAnsi="Times New Roman" w:cs="Times New Roman"/>
            <w:noProof/>
            <w:webHidden/>
          </w:rPr>
          <w:t>28</w:t>
        </w:r>
        <w:r w:rsidR="0097530B" w:rsidRPr="00F74704">
          <w:rPr>
            <w:rFonts w:ascii="Times New Roman" w:hAnsi="Times New Roman" w:cs="Times New Roman"/>
            <w:noProof/>
            <w:webHidden/>
          </w:rPr>
          <w:fldChar w:fldCharType="end"/>
        </w:r>
      </w:hyperlink>
    </w:p>
    <w:p w:rsidR="00F74704" w:rsidRPr="00F74704" w:rsidRDefault="009C1452" w:rsidP="0030352B">
      <w:pPr>
        <w:pStyle w:val="TOC3"/>
        <w:tabs>
          <w:tab w:val="left" w:pos="1320"/>
          <w:tab w:val="right" w:pos="9062"/>
        </w:tabs>
        <w:spacing w:after="120" w:line="240" w:lineRule="auto"/>
        <w:rPr>
          <w:rFonts w:ascii="Times New Roman" w:hAnsi="Times New Roman" w:cs="Times New Roman"/>
          <w:noProof/>
        </w:rPr>
      </w:pPr>
      <w:hyperlink w:anchor="_Toc492991333" w:history="1">
        <w:r w:rsidR="00F74704" w:rsidRPr="00F74704">
          <w:rPr>
            <w:rStyle w:val="Hyperlink"/>
            <w:rFonts w:ascii="Times New Roman" w:hAnsi="Times New Roman" w:cs="Times New Roman"/>
            <w:noProof/>
          </w:rPr>
          <w:t>1.3.7.</w:t>
        </w:r>
        <w:r w:rsidR="00F74704" w:rsidRPr="00F74704">
          <w:rPr>
            <w:rFonts w:ascii="Times New Roman" w:hAnsi="Times New Roman" w:cs="Times New Roman"/>
            <w:noProof/>
          </w:rPr>
          <w:tab/>
        </w:r>
        <w:r w:rsidR="00F74704" w:rsidRPr="00F74704">
          <w:rPr>
            <w:rStyle w:val="Hyperlink"/>
            <w:rFonts w:ascii="Times New Roman" w:hAnsi="Times New Roman" w:cs="Times New Roman"/>
            <w:noProof/>
          </w:rPr>
          <w:t>Извеждане от експлоатация</w:t>
        </w:r>
        <w:r w:rsidR="00F74704" w:rsidRPr="00F74704">
          <w:rPr>
            <w:rFonts w:ascii="Times New Roman" w:hAnsi="Times New Roman" w:cs="Times New Roman"/>
            <w:noProof/>
            <w:webHidden/>
          </w:rPr>
          <w:tab/>
        </w:r>
        <w:r w:rsidR="0097530B" w:rsidRPr="00F74704">
          <w:rPr>
            <w:rFonts w:ascii="Times New Roman" w:hAnsi="Times New Roman" w:cs="Times New Roman"/>
            <w:noProof/>
            <w:webHidden/>
          </w:rPr>
          <w:fldChar w:fldCharType="begin"/>
        </w:r>
        <w:r w:rsidR="00F74704" w:rsidRPr="00F74704">
          <w:rPr>
            <w:rFonts w:ascii="Times New Roman" w:hAnsi="Times New Roman" w:cs="Times New Roman"/>
            <w:noProof/>
            <w:webHidden/>
          </w:rPr>
          <w:instrText xml:space="preserve"> PAGEREF _Toc492991333 \h </w:instrText>
        </w:r>
        <w:r w:rsidR="0097530B" w:rsidRPr="00F74704">
          <w:rPr>
            <w:rFonts w:ascii="Times New Roman" w:hAnsi="Times New Roman" w:cs="Times New Roman"/>
            <w:noProof/>
            <w:webHidden/>
          </w:rPr>
        </w:r>
        <w:r w:rsidR="0097530B" w:rsidRPr="00F74704">
          <w:rPr>
            <w:rFonts w:ascii="Times New Roman" w:hAnsi="Times New Roman" w:cs="Times New Roman"/>
            <w:noProof/>
            <w:webHidden/>
          </w:rPr>
          <w:fldChar w:fldCharType="separate"/>
        </w:r>
        <w:r w:rsidR="00C73CD5">
          <w:rPr>
            <w:rFonts w:ascii="Times New Roman" w:hAnsi="Times New Roman" w:cs="Times New Roman"/>
            <w:noProof/>
            <w:webHidden/>
          </w:rPr>
          <w:t>30</w:t>
        </w:r>
        <w:r w:rsidR="0097530B" w:rsidRPr="00F74704">
          <w:rPr>
            <w:rFonts w:ascii="Times New Roman" w:hAnsi="Times New Roman" w:cs="Times New Roman"/>
            <w:noProof/>
            <w:webHidden/>
          </w:rPr>
          <w:fldChar w:fldCharType="end"/>
        </w:r>
      </w:hyperlink>
    </w:p>
    <w:p w:rsidR="00F74704" w:rsidRPr="00F74704" w:rsidRDefault="009C1452" w:rsidP="0030352B">
      <w:pPr>
        <w:pStyle w:val="TOC1"/>
        <w:tabs>
          <w:tab w:val="left" w:pos="440"/>
          <w:tab w:val="right" w:pos="9062"/>
        </w:tabs>
        <w:spacing w:before="0" w:after="120" w:line="240" w:lineRule="auto"/>
        <w:rPr>
          <w:rFonts w:ascii="Times New Roman" w:hAnsi="Times New Roman" w:cs="Times New Roman"/>
          <w:b w:val="0"/>
          <w:bCs w:val="0"/>
          <w:i w:val="0"/>
          <w:iCs w:val="0"/>
          <w:noProof/>
          <w:sz w:val="20"/>
          <w:szCs w:val="20"/>
        </w:rPr>
      </w:pPr>
      <w:hyperlink w:anchor="_Toc492991334" w:history="1">
        <w:r w:rsidR="00F74704" w:rsidRPr="00F74704">
          <w:rPr>
            <w:rStyle w:val="Hyperlink"/>
            <w:rFonts w:ascii="Times New Roman" w:hAnsi="Times New Roman" w:cs="Times New Roman"/>
            <w:b w:val="0"/>
            <w:i w:val="0"/>
            <w:noProof/>
            <w:sz w:val="20"/>
            <w:szCs w:val="20"/>
          </w:rPr>
          <w:t>3.</w:t>
        </w:r>
        <w:r w:rsidR="00F74704" w:rsidRPr="00F74704">
          <w:rPr>
            <w:rFonts w:ascii="Times New Roman" w:hAnsi="Times New Roman" w:cs="Times New Roman"/>
            <w:b w:val="0"/>
            <w:bCs w:val="0"/>
            <w:i w:val="0"/>
            <w:iCs w:val="0"/>
            <w:noProof/>
            <w:sz w:val="20"/>
            <w:szCs w:val="20"/>
          </w:rPr>
          <w:tab/>
        </w:r>
        <w:r w:rsidR="00F74704" w:rsidRPr="00F74704">
          <w:rPr>
            <w:rStyle w:val="Hyperlink"/>
            <w:rFonts w:ascii="Times New Roman" w:hAnsi="Times New Roman" w:cs="Times New Roman"/>
            <w:b w:val="0"/>
            <w:i w:val="0"/>
            <w:noProof/>
            <w:sz w:val="20"/>
            <w:szCs w:val="20"/>
          </w:rPr>
          <w:t>Поддейност V.4. Разработване на финансов модел за прогнозиране на паричните потоци от потенциалното изграждане на АЕЦ „Белене“</w:t>
        </w:r>
        <w:r w:rsidR="00F74704" w:rsidRPr="00F74704">
          <w:rPr>
            <w:rFonts w:ascii="Times New Roman" w:hAnsi="Times New Roman" w:cs="Times New Roman"/>
            <w:b w:val="0"/>
            <w:i w:val="0"/>
            <w:noProof/>
            <w:webHidden/>
            <w:sz w:val="20"/>
            <w:szCs w:val="20"/>
          </w:rPr>
          <w:tab/>
        </w:r>
        <w:r w:rsidR="0097530B" w:rsidRPr="00F74704">
          <w:rPr>
            <w:rFonts w:ascii="Times New Roman" w:hAnsi="Times New Roman" w:cs="Times New Roman"/>
            <w:b w:val="0"/>
            <w:i w:val="0"/>
            <w:noProof/>
            <w:webHidden/>
            <w:sz w:val="20"/>
            <w:szCs w:val="20"/>
          </w:rPr>
          <w:fldChar w:fldCharType="begin"/>
        </w:r>
        <w:r w:rsidR="00F74704" w:rsidRPr="00F74704">
          <w:rPr>
            <w:rFonts w:ascii="Times New Roman" w:hAnsi="Times New Roman" w:cs="Times New Roman"/>
            <w:b w:val="0"/>
            <w:i w:val="0"/>
            <w:noProof/>
            <w:webHidden/>
            <w:sz w:val="20"/>
            <w:szCs w:val="20"/>
          </w:rPr>
          <w:instrText xml:space="preserve"> PAGEREF _Toc492991334 \h </w:instrText>
        </w:r>
        <w:r w:rsidR="0097530B" w:rsidRPr="00F74704">
          <w:rPr>
            <w:rFonts w:ascii="Times New Roman" w:hAnsi="Times New Roman" w:cs="Times New Roman"/>
            <w:b w:val="0"/>
            <w:i w:val="0"/>
            <w:noProof/>
            <w:webHidden/>
            <w:sz w:val="20"/>
            <w:szCs w:val="20"/>
          </w:rPr>
        </w:r>
        <w:r w:rsidR="0097530B" w:rsidRPr="00F74704">
          <w:rPr>
            <w:rFonts w:ascii="Times New Roman" w:hAnsi="Times New Roman" w:cs="Times New Roman"/>
            <w:b w:val="0"/>
            <w:i w:val="0"/>
            <w:noProof/>
            <w:webHidden/>
            <w:sz w:val="20"/>
            <w:szCs w:val="20"/>
          </w:rPr>
          <w:fldChar w:fldCharType="separate"/>
        </w:r>
        <w:r w:rsidR="00C73CD5">
          <w:rPr>
            <w:rFonts w:ascii="Times New Roman" w:hAnsi="Times New Roman" w:cs="Times New Roman"/>
            <w:b w:val="0"/>
            <w:i w:val="0"/>
            <w:noProof/>
            <w:webHidden/>
            <w:sz w:val="20"/>
            <w:szCs w:val="20"/>
          </w:rPr>
          <w:t>35</w:t>
        </w:r>
        <w:r w:rsidR="0097530B" w:rsidRPr="00F74704">
          <w:rPr>
            <w:rFonts w:ascii="Times New Roman" w:hAnsi="Times New Roman" w:cs="Times New Roman"/>
            <w:b w:val="0"/>
            <w:i w:val="0"/>
            <w:noProof/>
            <w:webHidden/>
            <w:sz w:val="20"/>
            <w:szCs w:val="20"/>
          </w:rPr>
          <w:fldChar w:fldCharType="end"/>
        </w:r>
      </w:hyperlink>
    </w:p>
    <w:p w:rsidR="00F74704" w:rsidRPr="00F74704" w:rsidRDefault="009C1452" w:rsidP="0030352B">
      <w:pPr>
        <w:pStyle w:val="TOC1"/>
        <w:tabs>
          <w:tab w:val="right" w:pos="9062"/>
        </w:tabs>
        <w:spacing w:before="0" w:after="120" w:line="240" w:lineRule="auto"/>
        <w:rPr>
          <w:rFonts w:ascii="Times New Roman" w:hAnsi="Times New Roman" w:cs="Times New Roman"/>
          <w:b w:val="0"/>
          <w:bCs w:val="0"/>
          <w:i w:val="0"/>
          <w:iCs w:val="0"/>
          <w:noProof/>
          <w:sz w:val="20"/>
          <w:szCs w:val="20"/>
        </w:rPr>
      </w:pPr>
      <w:hyperlink w:anchor="_Toc492991335" w:history="1">
        <w:r w:rsidR="00F74704" w:rsidRPr="00F74704">
          <w:rPr>
            <w:rStyle w:val="Hyperlink"/>
            <w:rFonts w:ascii="Times New Roman" w:hAnsi="Times New Roman" w:cs="Times New Roman"/>
            <w:b w:val="0"/>
            <w:i w:val="0"/>
            <w:noProof/>
            <w:sz w:val="20"/>
            <w:szCs w:val="20"/>
          </w:rPr>
          <w:t>Въведение</w:t>
        </w:r>
        <w:r w:rsidR="00F74704" w:rsidRPr="00F74704">
          <w:rPr>
            <w:rFonts w:ascii="Times New Roman" w:hAnsi="Times New Roman" w:cs="Times New Roman"/>
            <w:b w:val="0"/>
            <w:i w:val="0"/>
            <w:noProof/>
            <w:webHidden/>
            <w:sz w:val="20"/>
            <w:szCs w:val="20"/>
          </w:rPr>
          <w:tab/>
        </w:r>
        <w:r w:rsidR="0097530B" w:rsidRPr="00F74704">
          <w:rPr>
            <w:rFonts w:ascii="Times New Roman" w:hAnsi="Times New Roman" w:cs="Times New Roman"/>
            <w:b w:val="0"/>
            <w:i w:val="0"/>
            <w:noProof/>
            <w:webHidden/>
            <w:sz w:val="20"/>
            <w:szCs w:val="20"/>
          </w:rPr>
          <w:fldChar w:fldCharType="begin"/>
        </w:r>
        <w:r w:rsidR="00F74704" w:rsidRPr="00F74704">
          <w:rPr>
            <w:rFonts w:ascii="Times New Roman" w:hAnsi="Times New Roman" w:cs="Times New Roman"/>
            <w:b w:val="0"/>
            <w:i w:val="0"/>
            <w:noProof/>
            <w:webHidden/>
            <w:sz w:val="20"/>
            <w:szCs w:val="20"/>
          </w:rPr>
          <w:instrText xml:space="preserve"> PAGEREF _Toc492991335 \h </w:instrText>
        </w:r>
        <w:r w:rsidR="0097530B" w:rsidRPr="00F74704">
          <w:rPr>
            <w:rFonts w:ascii="Times New Roman" w:hAnsi="Times New Roman" w:cs="Times New Roman"/>
            <w:b w:val="0"/>
            <w:i w:val="0"/>
            <w:noProof/>
            <w:webHidden/>
            <w:sz w:val="20"/>
            <w:szCs w:val="20"/>
          </w:rPr>
        </w:r>
        <w:r w:rsidR="0097530B" w:rsidRPr="00F74704">
          <w:rPr>
            <w:rFonts w:ascii="Times New Roman" w:hAnsi="Times New Roman" w:cs="Times New Roman"/>
            <w:b w:val="0"/>
            <w:i w:val="0"/>
            <w:noProof/>
            <w:webHidden/>
            <w:sz w:val="20"/>
            <w:szCs w:val="20"/>
          </w:rPr>
          <w:fldChar w:fldCharType="separate"/>
        </w:r>
        <w:r w:rsidR="00C73CD5">
          <w:rPr>
            <w:rFonts w:ascii="Times New Roman" w:hAnsi="Times New Roman" w:cs="Times New Roman"/>
            <w:b w:val="0"/>
            <w:i w:val="0"/>
            <w:noProof/>
            <w:webHidden/>
            <w:sz w:val="20"/>
            <w:szCs w:val="20"/>
          </w:rPr>
          <w:t>35</w:t>
        </w:r>
        <w:r w:rsidR="0097530B" w:rsidRPr="00F74704">
          <w:rPr>
            <w:rFonts w:ascii="Times New Roman" w:hAnsi="Times New Roman" w:cs="Times New Roman"/>
            <w:b w:val="0"/>
            <w:i w:val="0"/>
            <w:noProof/>
            <w:webHidden/>
            <w:sz w:val="20"/>
            <w:szCs w:val="20"/>
          </w:rPr>
          <w:fldChar w:fldCharType="end"/>
        </w:r>
      </w:hyperlink>
    </w:p>
    <w:p w:rsidR="00F74704" w:rsidRPr="00F74704" w:rsidRDefault="009C1452" w:rsidP="0030352B">
      <w:pPr>
        <w:pStyle w:val="TOC2"/>
        <w:tabs>
          <w:tab w:val="left" w:pos="880"/>
          <w:tab w:val="right" w:pos="9062"/>
        </w:tabs>
        <w:spacing w:before="0" w:after="120" w:line="240" w:lineRule="auto"/>
        <w:rPr>
          <w:rFonts w:ascii="Times New Roman" w:hAnsi="Times New Roman" w:cs="Times New Roman"/>
          <w:b w:val="0"/>
          <w:bCs w:val="0"/>
          <w:noProof/>
          <w:sz w:val="20"/>
          <w:szCs w:val="20"/>
        </w:rPr>
      </w:pPr>
      <w:hyperlink w:anchor="_Toc492991336" w:history="1">
        <w:r w:rsidR="00F74704" w:rsidRPr="00F74704">
          <w:rPr>
            <w:rStyle w:val="Hyperlink"/>
            <w:rFonts w:ascii="Times New Roman" w:hAnsi="Times New Roman" w:cs="Times New Roman"/>
            <w:b w:val="0"/>
            <w:noProof/>
            <w:sz w:val="20"/>
            <w:szCs w:val="20"/>
          </w:rPr>
          <w:t>3.1.</w:t>
        </w:r>
        <w:r w:rsidR="00F74704" w:rsidRPr="00F74704">
          <w:rPr>
            <w:rFonts w:ascii="Times New Roman" w:hAnsi="Times New Roman" w:cs="Times New Roman"/>
            <w:b w:val="0"/>
            <w:bCs w:val="0"/>
            <w:noProof/>
            <w:sz w:val="20"/>
            <w:szCs w:val="20"/>
          </w:rPr>
          <w:tab/>
        </w:r>
        <w:r w:rsidR="00F74704" w:rsidRPr="00F74704">
          <w:rPr>
            <w:rStyle w:val="Hyperlink"/>
            <w:rFonts w:ascii="Times New Roman" w:hAnsi="Times New Roman" w:cs="Times New Roman"/>
            <w:b w:val="0"/>
            <w:noProof/>
            <w:sz w:val="20"/>
            <w:szCs w:val="20"/>
          </w:rPr>
          <w:t>Проектът АЕЦ „Белене“</w:t>
        </w:r>
        <w:r w:rsidR="00F74704" w:rsidRPr="00F74704">
          <w:rPr>
            <w:rFonts w:ascii="Times New Roman" w:hAnsi="Times New Roman" w:cs="Times New Roman"/>
            <w:b w:val="0"/>
            <w:noProof/>
            <w:webHidden/>
            <w:sz w:val="20"/>
            <w:szCs w:val="20"/>
          </w:rPr>
          <w:tab/>
        </w:r>
        <w:r w:rsidR="0097530B" w:rsidRPr="00F74704">
          <w:rPr>
            <w:rFonts w:ascii="Times New Roman" w:hAnsi="Times New Roman" w:cs="Times New Roman"/>
            <w:b w:val="0"/>
            <w:noProof/>
            <w:webHidden/>
            <w:sz w:val="20"/>
            <w:szCs w:val="20"/>
          </w:rPr>
          <w:fldChar w:fldCharType="begin"/>
        </w:r>
        <w:r w:rsidR="00F74704" w:rsidRPr="00F74704">
          <w:rPr>
            <w:rFonts w:ascii="Times New Roman" w:hAnsi="Times New Roman" w:cs="Times New Roman"/>
            <w:b w:val="0"/>
            <w:noProof/>
            <w:webHidden/>
            <w:sz w:val="20"/>
            <w:szCs w:val="20"/>
          </w:rPr>
          <w:instrText xml:space="preserve"> PAGEREF _Toc492991336 \h </w:instrText>
        </w:r>
        <w:r w:rsidR="0097530B" w:rsidRPr="00F74704">
          <w:rPr>
            <w:rFonts w:ascii="Times New Roman" w:hAnsi="Times New Roman" w:cs="Times New Roman"/>
            <w:b w:val="0"/>
            <w:noProof/>
            <w:webHidden/>
            <w:sz w:val="20"/>
            <w:szCs w:val="20"/>
          </w:rPr>
        </w:r>
        <w:r w:rsidR="0097530B" w:rsidRPr="00F74704">
          <w:rPr>
            <w:rFonts w:ascii="Times New Roman" w:hAnsi="Times New Roman" w:cs="Times New Roman"/>
            <w:b w:val="0"/>
            <w:noProof/>
            <w:webHidden/>
            <w:sz w:val="20"/>
            <w:szCs w:val="20"/>
          </w:rPr>
          <w:fldChar w:fldCharType="separate"/>
        </w:r>
        <w:r w:rsidR="00C73CD5">
          <w:rPr>
            <w:rFonts w:ascii="Times New Roman" w:hAnsi="Times New Roman" w:cs="Times New Roman"/>
            <w:b w:val="0"/>
            <w:noProof/>
            <w:webHidden/>
            <w:sz w:val="20"/>
            <w:szCs w:val="20"/>
          </w:rPr>
          <w:t>37</w:t>
        </w:r>
        <w:r w:rsidR="0097530B" w:rsidRPr="00F74704">
          <w:rPr>
            <w:rFonts w:ascii="Times New Roman" w:hAnsi="Times New Roman" w:cs="Times New Roman"/>
            <w:b w:val="0"/>
            <w:noProof/>
            <w:webHidden/>
            <w:sz w:val="20"/>
            <w:szCs w:val="20"/>
          </w:rPr>
          <w:fldChar w:fldCharType="end"/>
        </w:r>
      </w:hyperlink>
    </w:p>
    <w:p w:rsidR="00F74704" w:rsidRPr="00F74704" w:rsidRDefault="009C1452" w:rsidP="0030352B">
      <w:pPr>
        <w:pStyle w:val="TOC3"/>
        <w:tabs>
          <w:tab w:val="left" w:pos="1320"/>
          <w:tab w:val="right" w:pos="9062"/>
        </w:tabs>
        <w:spacing w:after="120" w:line="240" w:lineRule="auto"/>
        <w:rPr>
          <w:rFonts w:ascii="Times New Roman" w:hAnsi="Times New Roman" w:cs="Times New Roman"/>
          <w:noProof/>
        </w:rPr>
      </w:pPr>
      <w:hyperlink w:anchor="_Toc492991337" w:history="1">
        <w:r w:rsidR="00F74704" w:rsidRPr="00F74704">
          <w:rPr>
            <w:rStyle w:val="Hyperlink"/>
            <w:rFonts w:ascii="Times New Roman" w:hAnsi="Times New Roman" w:cs="Times New Roman"/>
            <w:noProof/>
          </w:rPr>
          <w:t>3.2.1.</w:t>
        </w:r>
        <w:r w:rsidR="00F74704" w:rsidRPr="00F74704">
          <w:rPr>
            <w:rFonts w:ascii="Times New Roman" w:hAnsi="Times New Roman" w:cs="Times New Roman"/>
            <w:noProof/>
          </w:rPr>
          <w:tab/>
        </w:r>
        <w:r w:rsidR="00F74704" w:rsidRPr="00F74704">
          <w:rPr>
            <w:rStyle w:val="Hyperlink"/>
            <w:rFonts w:ascii="Times New Roman" w:hAnsi="Times New Roman" w:cs="Times New Roman"/>
            <w:noProof/>
          </w:rPr>
          <w:t>Състояние на проекта – идея, технология, развитие на проекта, текущо състояние</w:t>
        </w:r>
        <w:r w:rsidR="00F74704" w:rsidRPr="00F74704">
          <w:rPr>
            <w:rFonts w:ascii="Times New Roman" w:hAnsi="Times New Roman" w:cs="Times New Roman"/>
            <w:noProof/>
            <w:webHidden/>
          </w:rPr>
          <w:tab/>
        </w:r>
        <w:r w:rsidR="0097530B" w:rsidRPr="00F74704">
          <w:rPr>
            <w:rFonts w:ascii="Times New Roman" w:hAnsi="Times New Roman" w:cs="Times New Roman"/>
            <w:noProof/>
            <w:webHidden/>
          </w:rPr>
          <w:fldChar w:fldCharType="begin"/>
        </w:r>
        <w:r w:rsidR="00F74704" w:rsidRPr="00F74704">
          <w:rPr>
            <w:rFonts w:ascii="Times New Roman" w:hAnsi="Times New Roman" w:cs="Times New Roman"/>
            <w:noProof/>
            <w:webHidden/>
          </w:rPr>
          <w:instrText xml:space="preserve"> PAGEREF _Toc492991337 \h </w:instrText>
        </w:r>
        <w:r w:rsidR="0097530B" w:rsidRPr="00F74704">
          <w:rPr>
            <w:rFonts w:ascii="Times New Roman" w:hAnsi="Times New Roman" w:cs="Times New Roman"/>
            <w:noProof/>
            <w:webHidden/>
          </w:rPr>
        </w:r>
        <w:r w:rsidR="0097530B" w:rsidRPr="00F74704">
          <w:rPr>
            <w:rFonts w:ascii="Times New Roman" w:hAnsi="Times New Roman" w:cs="Times New Roman"/>
            <w:noProof/>
            <w:webHidden/>
          </w:rPr>
          <w:fldChar w:fldCharType="separate"/>
        </w:r>
        <w:r w:rsidR="00C73CD5">
          <w:rPr>
            <w:rFonts w:ascii="Times New Roman" w:hAnsi="Times New Roman" w:cs="Times New Roman"/>
            <w:noProof/>
            <w:webHidden/>
          </w:rPr>
          <w:t>37</w:t>
        </w:r>
        <w:r w:rsidR="0097530B" w:rsidRPr="00F74704">
          <w:rPr>
            <w:rFonts w:ascii="Times New Roman" w:hAnsi="Times New Roman" w:cs="Times New Roman"/>
            <w:noProof/>
            <w:webHidden/>
          </w:rPr>
          <w:fldChar w:fldCharType="end"/>
        </w:r>
      </w:hyperlink>
    </w:p>
    <w:p w:rsidR="00F74704" w:rsidRPr="00F74704" w:rsidRDefault="009C1452" w:rsidP="0030352B">
      <w:pPr>
        <w:pStyle w:val="TOC3"/>
        <w:tabs>
          <w:tab w:val="left" w:pos="1320"/>
          <w:tab w:val="right" w:pos="9062"/>
        </w:tabs>
        <w:spacing w:after="120" w:line="240" w:lineRule="auto"/>
        <w:rPr>
          <w:rFonts w:ascii="Times New Roman" w:hAnsi="Times New Roman" w:cs="Times New Roman"/>
          <w:noProof/>
        </w:rPr>
      </w:pPr>
      <w:hyperlink w:anchor="_Toc492991338" w:history="1">
        <w:r w:rsidR="00F74704" w:rsidRPr="00F74704">
          <w:rPr>
            <w:rStyle w:val="Hyperlink"/>
            <w:rFonts w:ascii="Times New Roman" w:hAnsi="Times New Roman" w:cs="Times New Roman"/>
            <w:noProof/>
          </w:rPr>
          <w:t>3.2.2.</w:t>
        </w:r>
        <w:r w:rsidR="00F74704" w:rsidRPr="00F74704">
          <w:rPr>
            <w:rFonts w:ascii="Times New Roman" w:hAnsi="Times New Roman" w:cs="Times New Roman"/>
            <w:noProof/>
          </w:rPr>
          <w:tab/>
        </w:r>
        <w:r w:rsidR="00F74704" w:rsidRPr="00F74704">
          <w:rPr>
            <w:rStyle w:val="Hyperlink"/>
            <w:rFonts w:ascii="Times New Roman" w:hAnsi="Times New Roman" w:cs="Times New Roman"/>
            <w:noProof/>
          </w:rPr>
          <w:t>Финансиране на проекта</w:t>
        </w:r>
        <w:r w:rsidR="00F74704" w:rsidRPr="00F74704">
          <w:rPr>
            <w:rFonts w:ascii="Times New Roman" w:hAnsi="Times New Roman" w:cs="Times New Roman"/>
            <w:noProof/>
            <w:webHidden/>
          </w:rPr>
          <w:tab/>
        </w:r>
        <w:r w:rsidR="0097530B" w:rsidRPr="00F74704">
          <w:rPr>
            <w:rFonts w:ascii="Times New Roman" w:hAnsi="Times New Roman" w:cs="Times New Roman"/>
            <w:noProof/>
            <w:webHidden/>
          </w:rPr>
          <w:fldChar w:fldCharType="begin"/>
        </w:r>
        <w:r w:rsidR="00F74704" w:rsidRPr="00F74704">
          <w:rPr>
            <w:rFonts w:ascii="Times New Roman" w:hAnsi="Times New Roman" w:cs="Times New Roman"/>
            <w:noProof/>
            <w:webHidden/>
          </w:rPr>
          <w:instrText xml:space="preserve"> PAGEREF _Toc492991338 \h </w:instrText>
        </w:r>
        <w:r w:rsidR="0097530B" w:rsidRPr="00F74704">
          <w:rPr>
            <w:rFonts w:ascii="Times New Roman" w:hAnsi="Times New Roman" w:cs="Times New Roman"/>
            <w:noProof/>
            <w:webHidden/>
          </w:rPr>
        </w:r>
        <w:r w:rsidR="0097530B" w:rsidRPr="00F74704">
          <w:rPr>
            <w:rFonts w:ascii="Times New Roman" w:hAnsi="Times New Roman" w:cs="Times New Roman"/>
            <w:noProof/>
            <w:webHidden/>
          </w:rPr>
          <w:fldChar w:fldCharType="separate"/>
        </w:r>
        <w:r w:rsidR="00C73CD5">
          <w:rPr>
            <w:rFonts w:ascii="Times New Roman" w:hAnsi="Times New Roman" w:cs="Times New Roman"/>
            <w:noProof/>
            <w:webHidden/>
          </w:rPr>
          <w:t>38</w:t>
        </w:r>
        <w:r w:rsidR="0097530B" w:rsidRPr="00F74704">
          <w:rPr>
            <w:rFonts w:ascii="Times New Roman" w:hAnsi="Times New Roman" w:cs="Times New Roman"/>
            <w:noProof/>
            <w:webHidden/>
          </w:rPr>
          <w:fldChar w:fldCharType="end"/>
        </w:r>
      </w:hyperlink>
    </w:p>
    <w:p w:rsidR="00F74704" w:rsidRPr="00F74704" w:rsidRDefault="009C1452" w:rsidP="0030352B">
      <w:pPr>
        <w:pStyle w:val="TOC2"/>
        <w:tabs>
          <w:tab w:val="left" w:pos="880"/>
          <w:tab w:val="right" w:pos="9062"/>
        </w:tabs>
        <w:spacing w:before="0" w:after="120" w:line="240" w:lineRule="auto"/>
        <w:rPr>
          <w:rFonts w:ascii="Times New Roman" w:hAnsi="Times New Roman" w:cs="Times New Roman"/>
          <w:b w:val="0"/>
          <w:bCs w:val="0"/>
          <w:noProof/>
          <w:sz w:val="20"/>
          <w:szCs w:val="20"/>
        </w:rPr>
      </w:pPr>
      <w:hyperlink w:anchor="_Toc492991339" w:history="1">
        <w:r w:rsidR="00F74704" w:rsidRPr="00F74704">
          <w:rPr>
            <w:rStyle w:val="Hyperlink"/>
            <w:rFonts w:ascii="Times New Roman" w:hAnsi="Times New Roman" w:cs="Times New Roman"/>
            <w:b w:val="0"/>
            <w:noProof/>
            <w:sz w:val="20"/>
            <w:szCs w:val="20"/>
          </w:rPr>
          <w:t>3.2.</w:t>
        </w:r>
        <w:r w:rsidR="00F74704" w:rsidRPr="00F74704">
          <w:rPr>
            <w:rFonts w:ascii="Times New Roman" w:hAnsi="Times New Roman" w:cs="Times New Roman"/>
            <w:b w:val="0"/>
            <w:bCs w:val="0"/>
            <w:noProof/>
            <w:sz w:val="20"/>
            <w:szCs w:val="20"/>
          </w:rPr>
          <w:tab/>
        </w:r>
        <w:r w:rsidR="00F74704" w:rsidRPr="00F74704">
          <w:rPr>
            <w:rStyle w:val="Hyperlink"/>
            <w:rFonts w:ascii="Times New Roman" w:hAnsi="Times New Roman" w:cs="Times New Roman"/>
            <w:b w:val="0"/>
            <w:noProof/>
            <w:sz w:val="20"/>
            <w:szCs w:val="20"/>
          </w:rPr>
          <w:t>Финансов модел</w:t>
        </w:r>
        <w:r w:rsidR="00F74704" w:rsidRPr="00F74704">
          <w:rPr>
            <w:rFonts w:ascii="Times New Roman" w:hAnsi="Times New Roman" w:cs="Times New Roman"/>
            <w:b w:val="0"/>
            <w:noProof/>
            <w:webHidden/>
            <w:sz w:val="20"/>
            <w:szCs w:val="20"/>
          </w:rPr>
          <w:tab/>
        </w:r>
        <w:r w:rsidR="0097530B" w:rsidRPr="00F74704">
          <w:rPr>
            <w:rFonts w:ascii="Times New Roman" w:hAnsi="Times New Roman" w:cs="Times New Roman"/>
            <w:b w:val="0"/>
            <w:noProof/>
            <w:webHidden/>
            <w:sz w:val="20"/>
            <w:szCs w:val="20"/>
          </w:rPr>
          <w:fldChar w:fldCharType="begin"/>
        </w:r>
        <w:r w:rsidR="00F74704" w:rsidRPr="00F74704">
          <w:rPr>
            <w:rFonts w:ascii="Times New Roman" w:hAnsi="Times New Roman" w:cs="Times New Roman"/>
            <w:b w:val="0"/>
            <w:noProof/>
            <w:webHidden/>
            <w:sz w:val="20"/>
            <w:szCs w:val="20"/>
          </w:rPr>
          <w:instrText xml:space="preserve"> PAGEREF _Toc492991339 \h </w:instrText>
        </w:r>
        <w:r w:rsidR="0097530B" w:rsidRPr="00F74704">
          <w:rPr>
            <w:rFonts w:ascii="Times New Roman" w:hAnsi="Times New Roman" w:cs="Times New Roman"/>
            <w:b w:val="0"/>
            <w:noProof/>
            <w:webHidden/>
            <w:sz w:val="20"/>
            <w:szCs w:val="20"/>
          </w:rPr>
        </w:r>
        <w:r w:rsidR="0097530B" w:rsidRPr="00F74704">
          <w:rPr>
            <w:rFonts w:ascii="Times New Roman" w:hAnsi="Times New Roman" w:cs="Times New Roman"/>
            <w:b w:val="0"/>
            <w:noProof/>
            <w:webHidden/>
            <w:sz w:val="20"/>
            <w:szCs w:val="20"/>
          </w:rPr>
          <w:fldChar w:fldCharType="separate"/>
        </w:r>
        <w:r w:rsidR="00C73CD5">
          <w:rPr>
            <w:rFonts w:ascii="Times New Roman" w:hAnsi="Times New Roman" w:cs="Times New Roman"/>
            <w:b w:val="0"/>
            <w:noProof/>
            <w:webHidden/>
            <w:sz w:val="20"/>
            <w:szCs w:val="20"/>
          </w:rPr>
          <w:t>39</w:t>
        </w:r>
        <w:r w:rsidR="0097530B" w:rsidRPr="00F74704">
          <w:rPr>
            <w:rFonts w:ascii="Times New Roman" w:hAnsi="Times New Roman" w:cs="Times New Roman"/>
            <w:b w:val="0"/>
            <w:noProof/>
            <w:webHidden/>
            <w:sz w:val="20"/>
            <w:szCs w:val="20"/>
          </w:rPr>
          <w:fldChar w:fldCharType="end"/>
        </w:r>
      </w:hyperlink>
    </w:p>
    <w:p w:rsidR="00F74704" w:rsidRPr="00F74704" w:rsidRDefault="009C1452" w:rsidP="0030352B">
      <w:pPr>
        <w:pStyle w:val="TOC3"/>
        <w:tabs>
          <w:tab w:val="left" w:pos="1320"/>
          <w:tab w:val="right" w:pos="9062"/>
        </w:tabs>
        <w:spacing w:after="120" w:line="240" w:lineRule="auto"/>
        <w:rPr>
          <w:rFonts w:ascii="Times New Roman" w:hAnsi="Times New Roman" w:cs="Times New Roman"/>
          <w:noProof/>
        </w:rPr>
      </w:pPr>
      <w:hyperlink w:anchor="_Toc492991340" w:history="1">
        <w:r w:rsidR="00F74704" w:rsidRPr="00F74704">
          <w:rPr>
            <w:rStyle w:val="Hyperlink"/>
            <w:rFonts w:ascii="Times New Roman" w:hAnsi="Times New Roman" w:cs="Times New Roman"/>
            <w:noProof/>
          </w:rPr>
          <w:t>3.2.1.</w:t>
        </w:r>
        <w:r w:rsidR="00F74704" w:rsidRPr="00F74704">
          <w:rPr>
            <w:rFonts w:ascii="Times New Roman" w:hAnsi="Times New Roman" w:cs="Times New Roman"/>
            <w:noProof/>
          </w:rPr>
          <w:tab/>
        </w:r>
        <w:r w:rsidR="00F74704" w:rsidRPr="00F74704">
          <w:rPr>
            <w:rStyle w:val="Hyperlink"/>
            <w:rFonts w:ascii="Times New Roman" w:hAnsi="Times New Roman" w:cs="Times New Roman"/>
            <w:noProof/>
          </w:rPr>
          <w:t>Логика, функционалност и информационно осигуряване</w:t>
        </w:r>
        <w:r w:rsidR="00F74704" w:rsidRPr="00F74704">
          <w:rPr>
            <w:rFonts w:ascii="Times New Roman" w:hAnsi="Times New Roman" w:cs="Times New Roman"/>
            <w:noProof/>
            <w:webHidden/>
          </w:rPr>
          <w:tab/>
        </w:r>
        <w:r w:rsidR="0097530B" w:rsidRPr="00F74704">
          <w:rPr>
            <w:rFonts w:ascii="Times New Roman" w:hAnsi="Times New Roman" w:cs="Times New Roman"/>
            <w:noProof/>
            <w:webHidden/>
          </w:rPr>
          <w:fldChar w:fldCharType="begin"/>
        </w:r>
        <w:r w:rsidR="00F74704" w:rsidRPr="00F74704">
          <w:rPr>
            <w:rFonts w:ascii="Times New Roman" w:hAnsi="Times New Roman" w:cs="Times New Roman"/>
            <w:noProof/>
            <w:webHidden/>
          </w:rPr>
          <w:instrText xml:space="preserve"> PAGEREF _Toc492991340 \h </w:instrText>
        </w:r>
        <w:r w:rsidR="0097530B" w:rsidRPr="00F74704">
          <w:rPr>
            <w:rFonts w:ascii="Times New Roman" w:hAnsi="Times New Roman" w:cs="Times New Roman"/>
            <w:noProof/>
            <w:webHidden/>
          </w:rPr>
        </w:r>
        <w:r w:rsidR="0097530B" w:rsidRPr="00F74704">
          <w:rPr>
            <w:rFonts w:ascii="Times New Roman" w:hAnsi="Times New Roman" w:cs="Times New Roman"/>
            <w:noProof/>
            <w:webHidden/>
          </w:rPr>
          <w:fldChar w:fldCharType="separate"/>
        </w:r>
        <w:r w:rsidR="00C73CD5">
          <w:rPr>
            <w:rFonts w:ascii="Times New Roman" w:hAnsi="Times New Roman" w:cs="Times New Roman"/>
            <w:noProof/>
            <w:webHidden/>
          </w:rPr>
          <w:t>39</w:t>
        </w:r>
        <w:r w:rsidR="0097530B" w:rsidRPr="00F74704">
          <w:rPr>
            <w:rFonts w:ascii="Times New Roman" w:hAnsi="Times New Roman" w:cs="Times New Roman"/>
            <w:noProof/>
            <w:webHidden/>
          </w:rPr>
          <w:fldChar w:fldCharType="end"/>
        </w:r>
      </w:hyperlink>
    </w:p>
    <w:p w:rsidR="00F74704" w:rsidRPr="00F74704" w:rsidRDefault="009C1452" w:rsidP="0030352B">
      <w:pPr>
        <w:pStyle w:val="TOC3"/>
        <w:tabs>
          <w:tab w:val="left" w:pos="1320"/>
          <w:tab w:val="right" w:pos="9062"/>
        </w:tabs>
        <w:spacing w:after="120" w:line="240" w:lineRule="auto"/>
        <w:rPr>
          <w:rFonts w:ascii="Times New Roman" w:hAnsi="Times New Roman" w:cs="Times New Roman"/>
          <w:noProof/>
        </w:rPr>
      </w:pPr>
      <w:hyperlink w:anchor="_Toc492991341" w:history="1">
        <w:r w:rsidR="00F74704" w:rsidRPr="00F74704">
          <w:rPr>
            <w:rStyle w:val="Hyperlink"/>
            <w:rFonts w:ascii="Times New Roman" w:hAnsi="Times New Roman" w:cs="Times New Roman"/>
            <w:noProof/>
          </w:rPr>
          <w:t>3.2.2.</w:t>
        </w:r>
        <w:r w:rsidR="00F74704" w:rsidRPr="00F74704">
          <w:rPr>
            <w:rFonts w:ascii="Times New Roman" w:hAnsi="Times New Roman" w:cs="Times New Roman"/>
            <w:noProof/>
          </w:rPr>
          <w:tab/>
        </w:r>
        <w:r w:rsidR="00F74704" w:rsidRPr="00F74704">
          <w:rPr>
            <w:rStyle w:val="Hyperlink"/>
            <w:rFonts w:ascii="Times New Roman" w:hAnsi="Times New Roman" w:cs="Times New Roman"/>
            <w:noProof/>
          </w:rPr>
          <w:t>Основни допускания</w:t>
        </w:r>
        <w:r w:rsidR="00F74704" w:rsidRPr="00F74704">
          <w:rPr>
            <w:rFonts w:ascii="Times New Roman" w:hAnsi="Times New Roman" w:cs="Times New Roman"/>
            <w:noProof/>
            <w:webHidden/>
          </w:rPr>
          <w:tab/>
        </w:r>
        <w:r w:rsidR="0097530B" w:rsidRPr="00F74704">
          <w:rPr>
            <w:rFonts w:ascii="Times New Roman" w:hAnsi="Times New Roman" w:cs="Times New Roman"/>
            <w:noProof/>
            <w:webHidden/>
          </w:rPr>
          <w:fldChar w:fldCharType="begin"/>
        </w:r>
        <w:r w:rsidR="00F74704" w:rsidRPr="00F74704">
          <w:rPr>
            <w:rFonts w:ascii="Times New Roman" w:hAnsi="Times New Roman" w:cs="Times New Roman"/>
            <w:noProof/>
            <w:webHidden/>
          </w:rPr>
          <w:instrText xml:space="preserve"> PAGEREF _Toc492991341 \h </w:instrText>
        </w:r>
        <w:r w:rsidR="0097530B" w:rsidRPr="00F74704">
          <w:rPr>
            <w:rFonts w:ascii="Times New Roman" w:hAnsi="Times New Roman" w:cs="Times New Roman"/>
            <w:noProof/>
            <w:webHidden/>
          </w:rPr>
        </w:r>
        <w:r w:rsidR="0097530B" w:rsidRPr="00F74704">
          <w:rPr>
            <w:rFonts w:ascii="Times New Roman" w:hAnsi="Times New Roman" w:cs="Times New Roman"/>
            <w:noProof/>
            <w:webHidden/>
          </w:rPr>
          <w:fldChar w:fldCharType="separate"/>
        </w:r>
        <w:r w:rsidR="00C73CD5">
          <w:rPr>
            <w:rFonts w:ascii="Times New Roman" w:hAnsi="Times New Roman" w:cs="Times New Roman"/>
            <w:noProof/>
            <w:webHidden/>
          </w:rPr>
          <w:t>41</w:t>
        </w:r>
        <w:r w:rsidR="0097530B" w:rsidRPr="00F74704">
          <w:rPr>
            <w:rFonts w:ascii="Times New Roman" w:hAnsi="Times New Roman" w:cs="Times New Roman"/>
            <w:noProof/>
            <w:webHidden/>
          </w:rPr>
          <w:fldChar w:fldCharType="end"/>
        </w:r>
      </w:hyperlink>
    </w:p>
    <w:p w:rsidR="00F74704" w:rsidRPr="00F74704" w:rsidRDefault="009C1452" w:rsidP="0030352B">
      <w:pPr>
        <w:pStyle w:val="TOC3"/>
        <w:tabs>
          <w:tab w:val="left" w:pos="1320"/>
          <w:tab w:val="right" w:pos="9062"/>
        </w:tabs>
        <w:spacing w:after="120" w:line="240" w:lineRule="auto"/>
        <w:rPr>
          <w:rFonts w:ascii="Times New Roman" w:hAnsi="Times New Roman" w:cs="Times New Roman"/>
          <w:noProof/>
        </w:rPr>
      </w:pPr>
      <w:hyperlink w:anchor="_Toc492991342" w:history="1">
        <w:r w:rsidR="00F74704" w:rsidRPr="00F74704">
          <w:rPr>
            <w:rStyle w:val="Hyperlink"/>
            <w:rFonts w:ascii="Times New Roman" w:hAnsi="Times New Roman" w:cs="Times New Roman"/>
            <w:noProof/>
          </w:rPr>
          <w:t>3.2.3.</w:t>
        </w:r>
        <w:r w:rsidR="00F74704" w:rsidRPr="00F74704">
          <w:rPr>
            <w:rFonts w:ascii="Times New Roman" w:hAnsi="Times New Roman" w:cs="Times New Roman"/>
            <w:noProof/>
          </w:rPr>
          <w:tab/>
        </w:r>
        <w:r w:rsidR="00F74704" w:rsidRPr="00F74704">
          <w:rPr>
            <w:rStyle w:val="Hyperlink"/>
            <w:rFonts w:ascii="Times New Roman" w:hAnsi="Times New Roman" w:cs="Times New Roman"/>
            <w:noProof/>
          </w:rPr>
          <w:t>Оценка на финансовата жизнеспособност на проекта</w:t>
        </w:r>
        <w:r w:rsidR="00F74704" w:rsidRPr="00F74704">
          <w:rPr>
            <w:rFonts w:ascii="Times New Roman" w:hAnsi="Times New Roman" w:cs="Times New Roman"/>
            <w:noProof/>
            <w:webHidden/>
          </w:rPr>
          <w:tab/>
        </w:r>
        <w:r w:rsidR="0097530B" w:rsidRPr="00F74704">
          <w:rPr>
            <w:rFonts w:ascii="Times New Roman" w:hAnsi="Times New Roman" w:cs="Times New Roman"/>
            <w:noProof/>
            <w:webHidden/>
          </w:rPr>
          <w:fldChar w:fldCharType="begin"/>
        </w:r>
        <w:r w:rsidR="00F74704" w:rsidRPr="00F74704">
          <w:rPr>
            <w:rFonts w:ascii="Times New Roman" w:hAnsi="Times New Roman" w:cs="Times New Roman"/>
            <w:noProof/>
            <w:webHidden/>
          </w:rPr>
          <w:instrText xml:space="preserve"> PAGEREF _Toc492991342 \h </w:instrText>
        </w:r>
        <w:r w:rsidR="0097530B" w:rsidRPr="00F74704">
          <w:rPr>
            <w:rFonts w:ascii="Times New Roman" w:hAnsi="Times New Roman" w:cs="Times New Roman"/>
            <w:noProof/>
            <w:webHidden/>
          </w:rPr>
        </w:r>
        <w:r w:rsidR="0097530B" w:rsidRPr="00F74704">
          <w:rPr>
            <w:rFonts w:ascii="Times New Roman" w:hAnsi="Times New Roman" w:cs="Times New Roman"/>
            <w:noProof/>
            <w:webHidden/>
          </w:rPr>
          <w:fldChar w:fldCharType="separate"/>
        </w:r>
        <w:r w:rsidR="00C73CD5">
          <w:rPr>
            <w:rFonts w:ascii="Times New Roman" w:hAnsi="Times New Roman" w:cs="Times New Roman"/>
            <w:noProof/>
            <w:webHidden/>
          </w:rPr>
          <w:t>53</w:t>
        </w:r>
        <w:r w:rsidR="0097530B" w:rsidRPr="00F74704">
          <w:rPr>
            <w:rFonts w:ascii="Times New Roman" w:hAnsi="Times New Roman" w:cs="Times New Roman"/>
            <w:noProof/>
            <w:webHidden/>
          </w:rPr>
          <w:fldChar w:fldCharType="end"/>
        </w:r>
      </w:hyperlink>
    </w:p>
    <w:p w:rsidR="00F74704" w:rsidRPr="00F74704" w:rsidRDefault="009C1452" w:rsidP="0030352B">
      <w:pPr>
        <w:pStyle w:val="TOC1"/>
        <w:tabs>
          <w:tab w:val="left" w:pos="440"/>
          <w:tab w:val="right" w:pos="9062"/>
        </w:tabs>
        <w:spacing w:before="0" w:after="120" w:line="240" w:lineRule="auto"/>
        <w:rPr>
          <w:rFonts w:ascii="Times New Roman" w:hAnsi="Times New Roman" w:cs="Times New Roman"/>
          <w:b w:val="0"/>
          <w:bCs w:val="0"/>
          <w:i w:val="0"/>
          <w:iCs w:val="0"/>
          <w:noProof/>
          <w:sz w:val="20"/>
          <w:szCs w:val="20"/>
        </w:rPr>
      </w:pPr>
      <w:hyperlink w:anchor="_Toc492991343" w:history="1">
        <w:r w:rsidR="00F74704" w:rsidRPr="00F74704">
          <w:rPr>
            <w:rStyle w:val="Hyperlink"/>
            <w:rFonts w:ascii="Times New Roman" w:hAnsi="Times New Roman" w:cs="Times New Roman"/>
            <w:b w:val="0"/>
            <w:i w:val="0"/>
            <w:noProof/>
            <w:sz w:val="20"/>
            <w:szCs w:val="20"/>
          </w:rPr>
          <w:t>4.</w:t>
        </w:r>
        <w:r w:rsidR="00F74704" w:rsidRPr="00F74704">
          <w:rPr>
            <w:rFonts w:ascii="Times New Roman" w:hAnsi="Times New Roman" w:cs="Times New Roman"/>
            <w:b w:val="0"/>
            <w:bCs w:val="0"/>
            <w:i w:val="0"/>
            <w:iCs w:val="0"/>
            <w:noProof/>
            <w:sz w:val="20"/>
            <w:szCs w:val="20"/>
          </w:rPr>
          <w:tab/>
        </w:r>
        <w:r w:rsidR="00F74704" w:rsidRPr="00F74704">
          <w:rPr>
            <w:rStyle w:val="Hyperlink"/>
            <w:rFonts w:ascii="Times New Roman" w:hAnsi="Times New Roman" w:cs="Times New Roman"/>
            <w:b w:val="0"/>
            <w:i w:val="0"/>
            <w:noProof/>
            <w:sz w:val="20"/>
            <w:szCs w:val="20"/>
          </w:rPr>
          <w:t>Резултати</w:t>
        </w:r>
        <w:r w:rsidR="00F74704" w:rsidRPr="00F74704">
          <w:rPr>
            <w:rFonts w:ascii="Times New Roman" w:hAnsi="Times New Roman" w:cs="Times New Roman"/>
            <w:b w:val="0"/>
            <w:i w:val="0"/>
            <w:noProof/>
            <w:webHidden/>
            <w:sz w:val="20"/>
            <w:szCs w:val="20"/>
          </w:rPr>
          <w:tab/>
        </w:r>
        <w:r w:rsidR="0097530B" w:rsidRPr="00F74704">
          <w:rPr>
            <w:rFonts w:ascii="Times New Roman" w:hAnsi="Times New Roman" w:cs="Times New Roman"/>
            <w:b w:val="0"/>
            <w:i w:val="0"/>
            <w:noProof/>
            <w:webHidden/>
            <w:sz w:val="20"/>
            <w:szCs w:val="20"/>
          </w:rPr>
          <w:fldChar w:fldCharType="begin"/>
        </w:r>
        <w:r w:rsidR="00F74704" w:rsidRPr="00F74704">
          <w:rPr>
            <w:rFonts w:ascii="Times New Roman" w:hAnsi="Times New Roman" w:cs="Times New Roman"/>
            <w:b w:val="0"/>
            <w:i w:val="0"/>
            <w:noProof/>
            <w:webHidden/>
            <w:sz w:val="20"/>
            <w:szCs w:val="20"/>
          </w:rPr>
          <w:instrText xml:space="preserve"> PAGEREF _Toc492991343 \h </w:instrText>
        </w:r>
        <w:r w:rsidR="0097530B" w:rsidRPr="00F74704">
          <w:rPr>
            <w:rFonts w:ascii="Times New Roman" w:hAnsi="Times New Roman" w:cs="Times New Roman"/>
            <w:b w:val="0"/>
            <w:i w:val="0"/>
            <w:noProof/>
            <w:webHidden/>
            <w:sz w:val="20"/>
            <w:szCs w:val="20"/>
          </w:rPr>
        </w:r>
        <w:r w:rsidR="0097530B" w:rsidRPr="00F74704">
          <w:rPr>
            <w:rFonts w:ascii="Times New Roman" w:hAnsi="Times New Roman" w:cs="Times New Roman"/>
            <w:b w:val="0"/>
            <w:i w:val="0"/>
            <w:noProof/>
            <w:webHidden/>
            <w:sz w:val="20"/>
            <w:szCs w:val="20"/>
          </w:rPr>
          <w:fldChar w:fldCharType="separate"/>
        </w:r>
        <w:r w:rsidR="00C73CD5">
          <w:rPr>
            <w:rFonts w:ascii="Times New Roman" w:hAnsi="Times New Roman" w:cs="Times New Roman"/>
            <w:b w:val="0"/>
            <w:i w:val="0"/>
            <w:noProof/>
            <w:webHidden/>
            <w:sz w:val="20"/>
            <w:szCs w:val="20"/>
          </w:rPr>
          <w:t>59</w:t>
        </w:r>
        <w:r w:rsidR="0097530B" w:rsidRPr="00F74704">
          <w:rPr>
            <w:rFonts w:ascii="Times New Roman" w:hAnsi="Times New Roman" w:cs="Times New Roman"/>
            <w:b w:val="0"/>
            <w:i w:val="0"/>
            <w:noProof/>
            <w:webHidden/>
            <w:sz w:val="20"/>
            <w:szCs w:val="20"/>
          </w:rPr>
          <w:fldChar w:fldCharType="end"/>
        </w:r>
      </w:hyperlink>
    </w:p>
    <w:p w:rsidR="00F74704" w:rsidRPr="00F74704" w:rsidRDefault="009C1452" w:rsidP="0030352B">
      <w:pPr>
        <w:pStyle w:val="TOC1"/>
        <w:tabs>
          <w:tab w:val="right" w:pos="9062"/>
        </w:tabs>
        <w:spacing w:before="0" w:after="120" w:line="240" w:lineRule="auto"/>
        <w:rPr>
          <w:rFonts w:ascii="Times New Roman" w:hAnsi="Times New Roman" w:cs="Times New Roman"/>
          <w:b w:val="0"/>
          <w:bCs w:val="0"/>
          <w:i w:val="0"/>
          <w:iCs w:val="0"/>
          <w:noProof/>
          <w:sz w:val="20"/>
          <w:szCs w:val="20"/>
        </w:rPr>
      </w:pPr>
      <w:hyperlink w:anchor="_Toc492991344" w:history="1">
        <w:r w:rsidR="00F74704" w:rsidRPr="00F74704">
          <w:rPr>
            <w:rStyle w:val="Hyperlink"/>
            <w:rFonts w:ascii="Times New Roman" w:hAnsi="Times New Roman" w:cs="Times New Roman"/>
            <w:b w:val="0"/>
            <w:i w:val="0"/>
            <w:noProof/>
            <w:sz w:val="20"/>
            <w:szCs w:val="20"/>
          </w:rPr>
          <w:t>Заключение</w:t>
        </w:r>
        <w:r w:rsidR="00F74704" w:rsidRPr="00F74704">
          <w:rPr>
            <w:rFonts w:ascii="Times New Roman" w:hAnsi="Times New Roman" w:cs="Times New Roman"/>
            <w:b w:val="0"/>
            <w:i w:val="0"/>
            <w:noProof/>
            <w:webHidden/>
            <w:sz w:val="20"/>
            <w:szCs w:val="20"/>
          </w:rPr>
          <w:tab/>
        </w:r>
      </w:hyperlink>
      <w:r w:rsidR="00C73CD5" w:rsidRPr="00C73CD5">
        <w:rPr>
          <w:rFonts w:ascii="Times New Roman" w:hAnsi="Times New Roman" w:cs="Times New Roman"/>
          <w:b w:val="0"/>
          <w:i w:val="0"/>
          <w:noProof/>
          <w:sz w:val="20"/>
          <w:szCs w:val="20"/>
        </w:rPr>
        <w:t>69</w:t>
      </w:r>
    </w:p>
    <w:p w:rsidR="00F74704" w:rsidRPr="00C73CD5" w:rsidRDefault="009C1452" w:rsidP="0030352B">
      <w:pPr>
        <w:pStyle w:val="TOC1"/>
        <w:tabs>
          <w:tab w:val="right" w:pos="9062"/>
        </w:tabs>
        <w:spacing w:before="0" w:after="120" w:line="240" w:lineRule="auto"/>
        <w:rPr>
          <w:rFonts w:ascii="Times New Roman" w:hAnsi="Times New Roman" w:cs="Times New Roman"/>
          <w:b w:val="0"/>
          <w:bCs w:val="0"/>
          <w:i w:val="0"/>
          <w:iCs w:val="0"/>
          <w:noProof/>
          <w:sz w:val="16"/>
          <w:szCs w:val="20"/>
          <w:lang w:val="en-GB"/>
        </w:rPr>
      </w:pPr>
      <w:hyperlink w:anchor="_Toc492991345" w:history="1">
        <w:r w:rsidR="00F74704" w:rsidRPr="00F74704">
          <w:rPr>
            <w:rStyle w:val="Hyperlink"/>
            <w:rFonts w:ascii="Times New Roman" w:hAnsi="Times New Roman" w:cs="Times New Roman"/>
            <w:b w:val="0"/>
            <w:i w:val="0"/>
            <w:noProof/>
            <w:sz w:val="20"/>
            <w:szCs w:val="20"/>
          </w:rPr>
          <w:t>Литература</w:t>
        </w:r>
        <w:r w:rsidR="00F74704" w:rsidRPr="00F74704">
          <w:rPr>
            <w:rFonts w:ascii="Times New Roman" w:hAnsi="Times New Roman" w:cs="Times New Roman"/>
            <w:b w:val="0"/>
            <w:i w:val="0"/>
            <w:noProof/>
            <w:webHidden/>
            <w:sz w:val="20"/>
            <w:szCs w:val="20"/>
          </w:rPr>
          <w:tab/>
        </w:r>
        <w:r w:rsidR="00AD7538">
          <w:rPr>
            <w:rFonts w:ascii="Times New Roman" w:hAnsi="Times New Roman" w:cs="Times New Roman"/>
            <w:b w:val="0"/>
            <w:i w:val="0"/>
            <w:noProof/>
            <w:webHidden/>
            <w:sz w:val="20"/>
            <w:szCs w:val="20"/>
            <w:lang w:val="en-GB"/>
          </w:rPr>
          <w:t>7</w:t>
        </w:r>
      </w:hyperlink>
      <w:r w:rsidR="00C73CD5" w:rsidRPr="00C73CD5">
        <w:rPr>
          <w:rFonts w:ascii="Times New Roman" w:hAnsi="Times New Roman" w:cs="Times New Roman"/>
          <w:b w:val="0"/>
          <w:i w:val="0"/>
          <w:noProof/>
          <w:sz w:val="20"/>
        </w:rPr>
        <w:t>2</w:t>
      </w:r>
    </w:p>
    <w:p w:rsidR="00F74704" w:rsidRPr="00F74704" w:rsidRDefault="0097530B" w:rsidP="0030352B">
      <w:pPr>
        <w:spacing w:after="120" w:line="240" w:lineRule="auto"/>
      </w:pPr>
      <w:r w:rsidRPr="00F74704">
        <w:rPr>
          <w:rFonts w:ascii="Times New Roman" w:hAnsi="Times New Roman" w:cs="Times New Roman"/>
          <w:sz w:val="20"/>
          <w:szCs w:val="20"/>
        </w:rPr>
        <w:fldChar w:fldCharType="end"/>
      </w:r>
    </w:p>
    <w:p w:rsidR="00CD119E" w:rsidRPr="007B7787" w:rsidRDefault="00CD119E" w:rsidP="00732DE0">
      <w:pPr>
        <w:spacing w:after="0" w:line="240" w:lineRule="auto"/>
        <w:jc w:val="center"/>
        <w:rPr>
          <w:rFonts w:ascii="Times New Roman" w:hAnsi="Times New Roman" w:cs="Times New Roman"/>
          <w:b/>
          <w:bCs/>
          <w:noProof/>
          <w:sz w:val="24"/>
          <w:szCs w:val="20"/>
        </w:rPr>
      </w:pPr>
      <w:r w:rsidRPr="00CD119E">
        <w:rPr>
          <w:rFonts w:ascii="Times New Roman" w:hAnsi="Times New Roman" w:cs="Times New Roman"/>
          <w:b/>
          <w:bCs/>
          <w:noProof/>
          <w:sz w:val="24"/>
          <w:szCs w:val="24"/>
        </w:rPr>
        <w:br w:type="page"/>
      </w:r>
      <w:r w:rsidRPr="007B7787">
        <w:rPr>
          <w:rFonts w:ascii="Times New Roman" w:hAnsi="Times New Roman" w:cs="Times New Roman"/>
          <w:b/>
          <w:bCs/>
          <w:noProof/>
          <w:sz w:val="24"/>
          <w:szCs w:val="20"/>
        </w:rPr>
        <w:lastRenderedPageBreak/>
        <w:t>СПИСЪК НА ТАБЛИЦИТЕ</w:t>
      </w:r>
    </w:p>
    <w:p w:rsidR="00732DE0" w:rsidRDefault="00732DE0" w:rsidP="00732DE0">
      <w:pPr>
        <w:spacing w:after="0" w:line="240" w:lineRule="auto"/>
        <w:jc w:val="center"/>
        <w:rPr>
          <w:rFonts w:ascii="Times New Roman" w:hAnsi="Times New Roman" w:cs="Times New Roman"/>
          <w:b/>
          <w:bCs/>
          <w:noProof/>
          <w:sz w:val="24"/>
          <w:szCs w:val="20"/>
        </w:rPr>
      </w:pPr>
    </w:p>
    <w:p w:rsidR="0027653D" w:rsidRPr="0027653D" w:rsidRDefault="0097530B"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r w:rsidRPr="00B40FA2">
        <w:rPr>
          <w:rFonts w:ascii="Times New Roman" w:hAnsi="Times New Roman" w:cs="Times New Roman"/>
          <w:b/>
          <w:bCs/>
          <w:i w:val="0"/>
          <w:noProof/>
        </w:rPr>
        <w:fldChar w:fldCharType="begin"/>
      </w:r>
      <w:r w:rsidR="00B40FA2" w:rsidRPr="00B40FA2">
        <w:rPr>
          <w:rFonts w:ascii="Times New Roman" w:hAnsi="Times New Roman" w:cs="Times New Roman"/>
          <w:b/>
          <w:bCs/>
          <w:i w:val="0"/>
          <w:noProof/>
        </w:rPr>
        <w:instrText xml:space="preserve"> TOC \h \z \c "Таблица V." </w:instrText>
      </w:r>
      <w:r w:rsidRPr="00B40FA2">
        <w:rPr>
          <w:rFonts w:ascii="Times New Roman" w:hAnsi="Times New Roman" w:cs="Times New Roman"/>
          <w:b/>
          <w:bCs/>
          <w:i w:val="0"/>
          <w:noProof/>
        </w:rPr>
        <w:fldChar w:fldCharType="separate"/>
      </w:r>
      <w:hyperlink w:anchor="_Toc493240897" w:history="1">
        <w:r w:rsidR="0027653D" w:rsidRPr="0027653D">
          <w:rPr>
            <w:rStyle w:val="Hyperlink"/>
            <w:rFonts w:ascii="Times New Roman" w:hAnsi="Times New Roman" w:cs="Times New Roman"/>
            <w:noProof/>
          </w:rPr>
          <w:t xml:space="preserve">Таблица V.1. Прогнози за производственитеразходи по групи централи на българския пазар, лева за </w:t>
        </w:r>
        <w:r w:rsidR="0027653D" w:rsidRPr="0027653D">
          <w:rPr>
            <w:rStyle w:val="Hyperlink"/>
            <w:rFonts w:ascii="Times New Roman" w:hAnsi="Times New Roman" w:cs="Times New Roman"/>
            <w:noProof/>
            <w:lang w:val="en-GB"/>
          </w:rPr>
          <w:t>MWh</w:t>
        </w:r>
        <w:r w:rsidR="0027653D" w:rsidRPr="0027653D">
          <w:rPr>
            <w:rFonts w:ascii="Times New Roman" w:hAnsi="Times New Roman" w:cs="Times New Roman"/>
            <w:noProof/>
            <w:webHidden/>
          </w:rPr>
          <w:tab/>
        </w:r>
        <w:r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_Toc493240897 \h </w:instrText>
        </w:r>
        <w:r w:rsidRPr="0027653D">
          <w:rPr>
            <w:rFonts w:ascii="Times New Roman" w:hAnsi="Times New Roman" w:cs="Times New Roman"/>
            <w:noProof/>
            <w:webHidden/>
          </w:rPr>
        </w:r>
        <w:r w:rsidRPr="0027653D">
          <w:rPr>
            <w:rFonts w:ascii="Times New Roman" w:hAnsi="Times New Roman" w:cs="Times New Roman"/>
            <w:noProof/>
            <w:webHidden/>
          </w:rPr>
          <w:fldChar w:fldCharType="separate"/>
        </w:r>
        <w:r w:rsidR="00F44EBF">
          <w:rPr>
            <w:rFonts w:ascii="Times New Roman" w:hAnsi="Times New Roman" w:cs="Times New Roman"/>
            <w:noProof/>
            <w:webHidden/>
          </w:rPr>
          <w:t>14</w:t>
        </w:r>
        <w:r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898" w:history="1">
        <w:r w:rsidR="0027653D" w:rsidRPr="0027653D">
          <w:rPr>
            <w:rStyle w:val="Hyperlink"/>
            <w:rFonts w:ascii="Times New Roman" w:hAnsi="Times New Roman" w:cs="Times New Roman"/>
            <w:noProof/>
          </w:rPr>
          <w:t xml:space="preserve">Таблица V.2. Прогнози за борсови цени на регионален пазар, евро за </w:t>
        </w:r>
        <w:r w:rsidR="0027653D" w:rsidRPr="0027653D">
          <w:rPr>
            <w:rStyle w:val="Hyperlink"/>
            <w:rFonts w:ascii="Times New Roman" w:hAnsi="Times New Roman" w:cs="Times New Roman"/>
            <w:noProof/>
            <w:lang w:val="en-GB"/>
          </w:rPr>
          <w:t>MWh</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_Toc493240898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15</w:t>
        </w:r>
        <w:r w:rsidR="0097530B"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899" w:history="1">
        <w:r w:rsidR="0027653D" w:rsidRPr="0027653D">
          <w:rPr>
            <w:rStyle w:val="Hyperlink"/>
            <w:rFonts w:ascii="Times New Roman" w:hAnsi="Times New Roman" w:cs="Times New Roman"/>
            <w:noProof/>
          </w:rPr>
          <w:t>Таблица V.3. Инвестиционни разходи по проекта, млн. евро</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_Toc493240899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43</w:t>
        </w:r>
        <w:r w:rsidR="0097530B"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900" w:history="1">
        <w:r w:rsidR="0027653D" w:rsidRPr="0027653D">
          <w:rPr>
            <w:rStyle w:val="Hyperlink"/>
            <w:rFonts w:ascii="Times New Roman" w:hAnsi="Times New Roman" w:cs="Times New Roman"/>
            <w:noProof/>
          </w:rPr>
          <w:t>Таблица V.4. Стойности за капиталови разходи за сходни нови блокове за реактор от поколение III/III+</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_Toc493240900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44</w:t>
        </w:r>
        <w:r w:rsidR="0097530B"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901" w:history="1">
        <w:r w:rsidR="0027653D" w:rsidRPr="0027653D">
          <w:rPr>
            <w:rStyle w:val="Hyperlink"/>
            <w:rFonts w:ascii="Times New Roman" w:hAnsi="Times New Roman" w:cs="Times New Roman"/>
            <w:noProof/>
          </w:rPr>
          <w:t>Таблица V.5. Допускания за експлоатация и натоварване на мощностите на АЕЦ „Белене“</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_Toc493240901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45</w:t>
        </w:r>
        <w:r w:rsidR="0097530B"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902" w:history="1">
        <w:r w:rsidR="0027653D" w:rsidRPr="0027653D">
          <w:rPr>
            <w:rStyle w:val="Hyperlink"/>
            <w:rFonts w:ascii="Times New Roman" w:hAnsi="Times New Roman" w:cs="Times New Roman"/>
            <w:noProof/>
          </w:rPr>
          <w:t>Таблица V.6</w:t>
        </w:r>
        <w:r w:rsidR="0027653D" w:rsidRPr="0027653D">
          <w:rPr>
            <w:rStyle w:val="Hyperlink"/>
            <w:rFonts w:ascii="Times New Roman" w:hAnsi="Times New Roman" w:cs="Times New Roman"/>
            <w:noProof/>
            <w:lang w:val="en-US"/>
          </w:rPr>
          <w:t xml:space="preserve">. </w:t>
        </w:r>
        <w:r w:rsidR="0027653D" w:rsidRPr="0027653D">
          <w:rPr>
            <w:rStyle w:val="Hyperlink"/>
            <w:rFonts w:ascii="Times New Roman" w:hAnsi="Times New Roman" w:cs="Times New Roman"/>
            <w:noProof/>
          </w:rPr>
          <w:t>Еталонни сравнения за планираното натоварване на мощностите</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_Toc493240902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46</w:t>
        </w:r>
        <w:r w:rsidR="0097530B"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903" w:history="1">
        <w:r w:rsidR="0027653D" w:rsidRPr="0027653D">
          <w:rPr>
            <w:rStyle w:val="Hyperlink"/>
            <w:rFonts w:ascii="Times New Roman" w:hAnsi="Times New Roman" w:cs="Times New Roman"/>
            <w:noProof/>
          </w:rPr>
          <w:t>Таблица V.7</w:t>
        </w:r>
        <w:r w:rsidR="0027653D" w:rsidRPr="0027653D">
          <w:rPr>
            <w:rStyle w:val="Hyperlink"/>
            <w:rFonts w:ascii="Times New Roman" w:hAnsi="Times New Roman" w:cs="Times New Roman"/>
            <w:noProof/>
            <w:lang w:val="en-US"/>
          </w:rPr>
          <w:t xml:space="preserve">. </w:t>
        </w:r>
        <w:r w:rsidR="0027653D" w:rsidRPr="0027653D">
          <w:rPr>
            <w:rStyle w:val="Hyperlink"/>
            <w:rFonts w:ascii="Times New Roman" w:hAnsi="Times New Roman" w:cs="Times New Roman"/>
            <w:noProof/>
          </w:rPr>
          <w:t>Допускания за размер на осигурителните вноски</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_Toc493240903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47</w:t>
        </w:r>
        <w:r w:rsidR="0097530B"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904" w:history="1">
        <w:r w:rsidR="0027653D" w:rsidRPr="0027653D">
          <w:rPr>
            <w:rStyle w:val="Hyperlink"/>
            <w:rFonts w:ascii="Times New Roman" w:hAnsi="Times New Roman" w:cs="Times New Roman"/>
            <w:noProof/>
          </w:rPr>
          <w:t>ТаблицаV.8</w:t>
        </w:r>
        <w:r w:rsidR="0027653D" w:rsidRPr="0027653D">
          <w:rPr>
            <w:rStyle w:val="Hyperlink"/>
            <w:rFonts w:ascii="Times New Roman" w:hAnsi="Times New Roman" w:cs="Times New Roman"/>
            <w:noProof/>
            <w:lang w:val="en-US"/>
          </w:rPr>
          <w:t xml:space="preserve">. </w:t>
        </w:r>
        <w:r w:rsidR="0027653D" w:rsidRPr="0027653D">
          <w:rPr>
            <w:rStyle w:val="Hyperlink"/>
            <w:rFonts w:ascii="Times New Roman" w:hAnsi="Times New Roman" w:cs="Times New Roman"/>
            <w:noProof/>
          </w:rPr>
          <w:t>Прогнозни цени на вътрешния и регионалния пазари, евро/MWh</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_Toc493240904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51</w:t>
        </w:r>
        <w:r w:rsidR="0097530B"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905" w:history="1">
        <w:r w:rsidR="0027653D" w:rsidRPr="0027653D">
          <w:rPr>
            <w:rStyle w:val="Hyperlink"/>
            <w:rFonts w:ascii="Times New Roman" w:hAnsi="Times New Roman" w:cs="Times New Roman"/>
            <w:noProof/>
          </w:rPr>
          <w:t>Таблица V.9. Цена на дълга при разглежданите варианти</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_Toc493240905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56</w:t>
        </w:r>
        <w:r w:rsidR="0097530B"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906" w:history="1">
        <w:r w:rsidR="0027653D" w:rsidRPr="0027653D">
          <w:rPr>
            <w:rStyle w:val="Hyperlink"/>
            <w:rFonts w:ascii="Times New Roman" w:hAnsi="Times New Roman" w:cs="Times New Roman"/>
            <w:noProof/>
          </w:rPr>
          <w:t>Таблица V.10. Претеглени средни разходи за капитала (WACC) по варианти на проекта</w:t>
        </w:r>
        <w:r w:rsidR="0027653D" w:rsidRPr="0027653D">
          <w:rPr>
            <w:rStyle w:val="Hyperlink"/>
            <w:rFonts w:ascii="Times New Roman" w:hAnsi="Times New Roman" w:cs="Times New Roman"/>
            <w:noProof/>
            <w:lang w:val="en-US"/>
          </w:rPr>
          <w:t xml:space="preserve"> (%)</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_Toc493240906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59</w:t>
        </w:r>
        <w:r w:rsidR="0097530B"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907" w:history="1">
        <w:r w:rsidR="0027653D" w:rsidRPr="0027653D">
          <w:rPr>
            <w:rStyle w:val="Hyperlink"/>
            <w:rFonts w:ascii="Times New Roman" w:hAnsi="Times New Roman" w:cs="Times New Roman"/>
            <w:noProof/>
          </w:rPr>
          <w:t>Таблица V.11. Оперативни средногодишни разходи за периода 2027-2047 г.</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_Toc493240907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60</w:t>
        </w:r>
        <w:r w:rsidR="0097530B"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908" w:history="1">
        <w:r w:rsidR="0027653D" w:rsidRPr="0027653D">
          <w:rPr>
            <w:rStyle w:val="Hyperlink"/>
            <w:rFonts w:ascii="Times New Roman" w:hAnsi="Times New Roman" w:cs="Times New Roman"/>
            <w:noProof/>
          </w:rPr>
          <w:t>Таблица V.12. Еталонни стойности на оперативните разходи и разходите за поддръжка на единица продукция</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_Toc493240908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61</w:t>
        </w:r>
        <w:r w:rsidR="0097530B"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909" w:history="1">
        <w:r w:rsidR="0027653D" w:rsidRPr="0027653D">
          <w:rPr>
            <w:rStyle w:val="Hyperlink"/>
            <w:rFonts w:ascii="Times New Roman" w:hAnsi="Times New Roman" w:cs="Times New Roman"/>
            <w:noProof/>
          </w:rPr>
          <w:t>Таблица V.13. Еталонни стойности за разходите за ядрено гориво</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_Toc493240909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62</w:t>
        </w:r>
        <w:r w:rsidR="0097530B"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910" w:history="1">
        <w:r w:rsidR="0027653D" w:rsidRPr="0027653D">
          <w:rPr>
            <w:rStyle w:val="Hyperlink"/>
            <w:rFonts w:ascii="Times New Roman" w:hAnsi="Times New Roman" w:cs="Times New Roman"/>
            <w:noProof/>
          </w:rPr>
          <w:t>Таблица V.14. Разходи за управление на радиоактивни отпадъци и за извеждане от експлоатация на ядрени съоръжения на АЕЦ „Белене“</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_Toc493240910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62</w:t>
        </w:r>
        <w:r w:rsidR="0097530B"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911" w:history="1">
        <w:r w:rsidR="0027653D" w:rsidRPr="0027653D">
          <w:rPr>
            <w:rStyle w:val="Hyperlink"/>
            <w:rFonts w:ascii="Times New Roman" w:hAnsi="Times New Roman" w:cs="Times New Roman"/>
            <w:noProof/>
          </w:rPr>
          <w:t>Таблица V.15. Оперативни приходи за периода 2027-2087 г. при различни сценарии за цените</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_Toc493240911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63</w:t>
        </w:r>
        <w:r w:rsidR="0097530B"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912" w:history="1">
        <w:r w:rsidR="0027653D" w:rsidRPr="0027653D">
          <w:rPr>
            <w:rStyle w:val="Hyperlink"/>
            <w:rFonts w:ascii="Times New Roman" w:hAnsi="Times New Roman" w:cs="Times New Roman"/>
            <w:noProof/>
          </w:rPr>
          <w:t>Таблица V.16. Сценарии за финансиране на проекта</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_Toc493240912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63</w:t>
        </w:r>
        <w:r w:rsidR="0097530B"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913" w:history="1">
        <w:r w:rsidR="0027653D" w:rsidRPr="0027653D">
          <w:rPr>
            <w:rStyle w:val="Hyperlink"/>
            <w:rFonts w:ascii="Times New Roman" w:hAnsi="Times New Roman" w:cs="Times New Roman"/>
            <w:noProof/>
          </w:rPr>
          <w:t>Таблица V.17. Разпределение на собствения капитал на АЕЦ „Белене“</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_Toc493240913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64</w:t>
        </w:r>
        <w:r w:rsidR="0097530B"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914" w:history="1">
        <w:r w:rsidR="0027653D" w:rsidRPr="0027653D">
          <w:rPr>
            <w:rStyle w:val="Hyperlink"/>
            <w:rFonts w:ascii="Times New Roman" w:hAnsi="Times New Roman" w:cs="Times New Roman"/>
            <w:noProof/>
          </w:rPr>
          <w:t>Таблица V.18. LCOE на проекти в ядрената енергетика (щатски дол./MWh, реални цени от 2013 г.)</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_Toc493240914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64</w:t>
        </w:r>
        <w:r w:rsidR="0097530B"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915" w:history="1">
        <w:r w:rsidR="0027653D" w:rsidRPr="0027653D">
          <w:rPr>
            <w:rStyle w:val="Hyperlink"/>
            <w:rFonts w:ascii="Times New Roman" w:hAnsi="Times New Roman" w:cs="Times New Roman"/>
            <w:noProof/>
          </w:rPr>
          <w:t>Таблица V.19. Влияние на ценовите сценарии и нивата на натоварване върху финансовите показатели – общо за проекта преди финансиране</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_Toc493240915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67</w:t>
        </w:r>
        <w:r w:rsidR="0097530B" w:rsidRPr="0027653D">
          <w:rPr>
            <w:rFonts w:ascii="Times New Roman" w:hAnsi="Times New Roman" w:cs="Times New Roman"/>
            <w:noProof/>
            <w:webHidden/>
          </w:rPr>
          <w:fldChar w:fldCharType="end"/>
        </w:r>
      </w:hyperlink>
    </w:p>
    <w:p w:rsidR="0027653D" w:rsidRDefault="009C1452" w:rsidP="0030352B">
      <w:pPr>
        <w:pStyle w:val="TableofFigures"/>
        <w:tabs>
          <w:tab w:val="right" w:leader="dot" w:pos="9062"/>
        </w:tabs>
        <w:spacing w:after="60"/>
        <w:rPr>
          <w:rFonts w:asciiTheme="minorHAnsi" w:eastAsiaTheme="minorEastAsia" w:hAnsiTheme="minorHAnsi" w:cstheme="minorBidi"/>
          <w:i w:val="0"/>
          <w:iCs w:val="0"/>
          <w:noProof/>
          <w:sz w:val="22"/>
          <w:szCs w:val="22"/>
          <w:lang w:val="en-US"/>
        </w:rPr>
      </w:pPr>
      <w:hyperlink w:anchor="_Toc493240916" w:history="1">
        <w:r w:rsidR="0027653D" w:rsidRPr="0027653D">
          <w:rPr>
            <w:rStyle w:val="Hyperlink"/>
            <w:rFonts w:ascii="Times New Roman" w:hAnsi="Times New Roman" w:cs="Times New Roman"/>
            <w:noProof/>
          </w:rPr>
          <w:t>Таблица V.20. Влияние на ценовите сценарии и нивата на натоварване върху нивото на възвръщаемост на частния инвеститор/държавата (%)</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_Toc493240916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68</w:t>
        </w:r>
        <w:r w:rsidR="0097530B" w:rsidRPr="0027653D">
          <w:rPr>
            <w:rFonts w:ascii="Times New Roman" w:hAnsi="Times New Roman" w:cs="Times New Roman"/>
            <w:noProof/>
            <w:webHidden/>
          </w:rPr>
          <w:fldChar w:fldCharType="end"/>
        </w:r>
      </w:hyperlink>
    </w:p>
    <w:p w:rsidR="00732DE0" w:rsidRPr="0027653D" w:rsidRDefault="0097530B" w:rsidP="0030352B">
      <w:pPr>
        <w:spacing w:after="60" w:line="240" w:lineRule="auto"/>
        <w:rPr>
          <w:rFonts w:ascii="Times New Roman" w:eastAsia="Times New Roman" w:hAnsi="Times New Roman" w:cs="Times New Roman"/>
          <w:i/>
          <w:noProof/>
          <w:sz w:val="24"/>
        </w:rPr>
      </w:pPr>
      <w:r w:rsidRPr="00B40FA2">
        <w:rPr>
          <w:rFonts w:ascii="Times New Roman" w:hAnsi="Times New Roman" w:cs="Times New Roman"/>
          <w:b/>
          <w:bCs/>
          <w:noProof/>
          <w:sz w:val="20"/>
          <w:szCs w:val="20"/>
        </w:rPr>
        <w:fldChar w:fldCharType="end"/>
      </w:r>
      <w:r w:rsidR="00EA6281" w:rsidRPr="0027653D">
        <w:rPr>
          <w:rFonts w:ascii="Times New Roman" w:hAnsi="Times New Roman" w:cs="Times New Roman"/>
          <w:bCs/>
          <w:i/>
          <w:noProof/>
          <w:sz w:val="20"/>
          <w:szCs w:val="20"/>
        </w:rPr>
        <w:t>Таблица V.21. Разлики между приходи и разходи, при различните ценови сценарии по години в периода на експлоатация, в млн. евро………………………………………………………………………………………………….71</w:t>
      </w:r>
      <w:r w:rsidR="007B7787" w:rsidRPr="0027653D">
        <w:rPr>
          <w:rFonts w:ascii="Times New Roman" w:eastAsia="Times New Roman" w:hAnsi="Times New Roman" w:cs="Times New Roman"/>
          <w:i/>
          <w:noProof/>
          <w:sz w:val="24"/>
        </w:rPr>
        <w:tab/>
      </w:r>
    </w:p>
    <w:p w:rsidR="00B40FA2" w:rsidRPr="007B7787" w:rsidRDefault="00B40FA2" w:rsidP="00B40FA2">
      <w:pPr>
        <w:spacing w:after="60" w:line="240" w:lineRule="auto"/>
        <w:jc w:val="center"/>
        <w:rPr>
          <w:rFonts w:ascii="Times New Roman" w:eastAsia="Times New Roman" w:hAnsi="Times New Roman" w:cs="Times New Roman"/>
          <w:i/>
          <w:iCs/>
          <w:noProof/>
          <w:sz w:val="24"/>
        </w:rPr>
      </w:pPr>
    </w:p>
    <w:p w:rsidR="00CD119E" w:rsidRPr="007B7787" w:rsidRDefault="00CD119E" w:rsidP="00CD119E">
      <w:pPr>
        <w:spacing w:after="0" w:line="240" w:lineRule="auto"/>
        <w:jc w:val="center"/>
        <w:rPr>
          <w:rFonts w:ascii="Times New Roman" w:hAnsi="Times New Roman" w:cs="Times New Roman"/>
          <w:b/>
          <w:bCs/>
          <w:noProof/>
          <w:sz w:val="24"/>
          <w:szCs w:val="20"/>
        </w:rPr>
      </w:pPr>
      <w:r w:rsidRPr="007B7787">
        <w:rPr>
          <w:rFonts w:ascii="Times New Roman" w:hAnsi="Times New Roman" w:cs="Times New Roman"/>
          <w:b/>
          <w:bCs/>
          <w:noProof/>
          <w:sz w:val="24"/>
          <w:szCs w:val="20"/>
        </w:rPr>
        <w:t>СПИСЪК НА ФИГУРИТЕ</w:t>
      </w:r>
    </w:p>
    <w:p w:rsidR="00CD119E" w:rsidRPr="007B7787" w:rsidRDefault="00CD119E" w:rsidP="00CD119E">
      <w:pPr>
        <w:spacing w:after="0" w:line="240" w:lineRule="auto"/>
        <w:jc w:val="center"/>
        <w:rPr>
          <w:rFonts w:ascii="Times New Roman" w:hAnsi="Times New Roman" w:cs="Times New Roman"/>
          <w:b/>
          <w:bCs/>
          <w:noProof/>
          <w:sz w:val="24"/>
          <w:szCs w:val="20"/>
        </w:rPr>
      </w:pPr>
    </w:p>
    <w:p w:rsidR="0027653D" w:rsidRPr="0027653D" w:rsidRDefault="0097530B"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r w:rsidRPr="00A977E1">
        <w:rPr>
          <w:rFonts w:ascii="Times New Roman" w:eastAsia="Times New Roman" w:hAnsi="Times New Roman" w:cs="Times New Roman"/>
          <w:i w:val="0"/>
          <w:iCs w:val="0"/>
          <w:noProof/>
        </w:rPr>
        <w:fldChar w:fldCharType="begin"/>
      </w:r>
      <w:r w:rsidR="00B40FA2" w:rsidRPr="00A977E1">
        <w:rPr>
          <w:rFonts w:ascii="Times New Roman" w:eastAsia="Times New Roman" w:hAnsi="Times New Roman" w:cs="Times New Roman"/>
          <w:i w:val="0"/>
          <w:iCs w:val="0"/>
          <w:noProof/>
        </w:rPr>
        <w:instrText xml:space="preserve"> TOC \h \z \c "Фигура V." </w:instrText>
      </w:r>
      <w:r w:rsidRPr="00A977E1">
        <w:rPr>
          <w:rFonts w:ascii="Times New Roman" w:eastAsia="Times New Roman" w:hAnsi="Times New Roman" w:cs="Times New Roman"/>
          <w:i w:val="0"/>
          <w:iCs w:val="0"/>
          <w:noProof/>
        </w:rPr>
        <w:fldChar w:fldCharType="separate"/>
      </w:r>
      <w:hyperlink w:anchor="_Toc493240917" w:history="1">
        <w:r w:rsidR="0027653D" w:rsidRPr="0027653D">
          <w:rPr>
            <w:rStyle w:val="Hyperlink"/>
            <w:rFonts w:ascii="Times New Roman" w:hAnsi="Times New Roman" w:cs="Times New Roman"/>
            <w:noProof/>
          </w:rPr>
          <w:t>ФигураV.1. Схема на доставеното оборудване като част от ядрения блок</w:t>
        </w:r>
        <w:r w:rsidR="0027653D" w:rsidRPr="0027653D">
          <w:rPr>
            <w:rFonts w:ascii="Times New Roman" w:hAnsi="Times New Roman" w:cs="Times New Roman"/>
            <w:noProof/>
            <w:webHidden/>
          </w:rPr>
          <w:tab/>
        </w:r>
        <w:r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_Toc493240917 \h </w:instrText>
        </w:r>
        <w:r w:rsidRPr="0027653D">
          <w:rPr>
            <w:rFonts w:ascii="Times New Roman" w:hAnsi="Times New Roman" w:cs="Times New Roman"/>
            <w:noProof/>
            <w:webHidden/>
          </w:rPr>
        </w:r>
        <w:r w:rsidRPr="0027653D">
          <w:rPr>
            <w:rFonts w:ascii="Times New Roman" w:hAnsi="Times New Roman" w:cs="Times New Roman"/>
            <w:noProof/>
            <w:webHidden/>
          </w:rPr>
          <w:fldChar w:fldCharType="separate"/>
        </w:r>
        <w:r w:rsidR="00F44EBF">
          <w:rPr>
            <w:rFonts w:ascii="Times New Roman" w:hAnsi="Times New Roman" w:cs="Times New Roman"/>
            <w:noProof/>
            <w:webHidden/>
          </w:rPr>
          <w:t>11</w:t>
        </w:r>
        <w:r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918" w:history="1">
        <w:r w:rsidR="0027653D" w:rsidRPr="0027653D">
          <w:rPr>
            <w:rStyle w:val="Hyperlink"/>
            <w:rFonts w:ascii="Times New Roman" w:hAnsi="Times New Roman" w:cs="Times New Roman"/>
            <w:noProof/>
          </w:rPr>
          <w:t>Фигура V.2. Етапи на лицензиране на изграждането на АЕЦ „Белене“</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_Toc493240918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23</w:t>
        </w:r>
        <w:r w:rsidR="0097530B"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919" w:history="1">
        <w:r w:rsidR="0027653D" w:rsidRPr="0027653D">
          <w:rPr>
            <w:rStyle w:val="Hyperlink"/>
            <w:rFonts w:ascii="Times New Roman" w:hAnsi="Times New Roman" w:cs="Times New Roman"/>
            <w:noProof/>
          </w:rPr>
          <w:t>Фигура V.3. Структура на финансовия модел</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_Toc493240919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40</w:t>
        </w:r>
        <w:r w:rsidR="0097530B"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920" w:history="1">
        <w:r w:rsidR="0027653D" w:rsidRPr="0027653D">
          <w:rPr>
            <w:rStyle w:val="Hyperlink"/>
            <w:rFonts w:ascii="Times New Roman" w:hAnsi="Times New Roman" w:cs="Times New Roman"/>
            <w:noProof/>
          </w:rPr>
          <w:t>Фигура V.4. Времево разпределение на ексалираните капиталови разходи, млн. евро</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_Toc493240920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44</w:t>
        </w:r>
        <w:r w:rsidR="0097530B"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921" w:history="1">
        <w:r w:rsidR="0027653D" w:rsidRPr="0027653D">
          <w:rPr>
            <w:rStyle w:val="Hyperlink"/>
            <w:rFonts w:ascii="Times New Roman" w:hAnsi="Times New Roman" w:cs="Times New Roman"/>
            <w:noProof/>
          </w:rPr>
          <w:t>Фигура V.5. Доходност от 30-годишни германски облигации за периода 2013-2017 г.</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_Toc493240921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57</w:t>
        </w:r>
        <w:r w:rsidR="0097530B"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922" w:history="1">
        <w:r w:rsidR="0027653D" w:rsidRPr="0027653D">
          <w:rPr>
            <w:rStyle w:val="Hyperlink"/>
            <w:rFonts w:ascii="Times New Roman" w:hAnsi="Times New Roman" w:cs="Times New Roman"/>
            <w:noProof/>
          </w:rPr>
          <w:t>Фигура V.6. Доходност от 10-годишни германски и български облигации за периода 2014-2016 г.</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_Toc493240922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57</w:t>
        </w:r>
        <w:r w:rsidR="0097530B"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923" w:history="1">
        <w:r w:rsidR="0027653D" w:rsidRPr="0027653D">
          <w:rPr>
            <w:rStyle w:val="Hyperlink"/>
            <w:rFonts w:ascii="Times New Roman" w:hAnsi="Times New Roman" w:cs="Times New Roman"/>
            <w:noProof/>
          </w:rPr>
          <w:t>Фигура V.7. β коефициенти за доходността на капитала на европейските енергийни дружества</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_Toc493240923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58</w:t>
        </w:r>
        <w:r w:rsidR="0097530B"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924" w:history="1">
        <w:r w:rsidR="0027653D" w:rsidRPr="0027653D">
          <w:rPr>
            <w:rStyle w:val="Hyperlink"/>
            <w:rFonts w:ascii="Times New Roman" w:hAnsi="Times New Roman" w:cs="Times New Roman"/>
            <w:noProof/>
          </w:rPr>
          <w:t>Фигура V.8. Структура на оперативните разходи (средно за периода 2027-2087 г., %)</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_Toc493240924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60</w:t>
        </w:r>
        <w:r w:rsidR="0097530B" w:rsidRPr="0027653D">
          <w:rPr>
            <w:rFonts w:ascii="Times New Roman" w:hAnsi="Times New Roman" w:cs="Times New Roman"/>
            <w:noProof/>
            <w:webHidden/>
          </w:rPr>
          <w:fldChar w:fldCharType="end"/>
        </w:r>
      </w:hyperlink>
    </w:p>
    <w:p w:rsidR="0027653D" w:rsidRPr="0027653D" w:rsidRDefault="009C1452" w:rsidP="0030352B">
      <w:pPr>
        <w:pStyle w:val="TableofFigures"/>
        <w:tabs>
          <w:tab w:val="right" w:leader="dot" w:pos="9062"/>
        </w:tabs>
        <w:spacing w:after="60"/>
        <w:rPr>
          <w:rFonts w:ascii="Times New Roman" w:eastAsiaTheme="minorEastAsia" w:hAnsi="Times New Roman" w:cs="Times New Roman"/>
          <w:i w:val="0"/>
          <w:iCs w:val="0"/>
          <w:noProof/>
          <w:sz w:val="22"/>
          <w:szCs w:val="22"/>
          <w:lang w:val="en-US"/>
        </w:rPr>
      </w:pPr>
      <w:hyperlink w:anchor="_Toc493240925" w:history="1">
        <w:r w:rsidR="0027653D" w:rsidRPr="0027653D">
          <w:rPr>
            <w:rStyle w:val="Hyperlink"/>
            <w:rFonts w:ascii="Times New Roman" w:hAnsi="Times New Roman" w:cs="Times New Roman"/>
            <w:noProof/>
          </w:rPr>
          <w:t>Фигура V.9. LCOE при дисконтова норма от 7% и цени на електроенергията за вътрешния пазар</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_Toc493240925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65</w:t>
        </w:r>
        <w:r w:rsidR="0097530B" w:rsidRPr="0027653D">
          <w:rPr>
            <w:rFonts w:ascii="Times New Roman" w:hAnsi="Times New Roman" w:cs="Times New Roman"/>
            <w:noProof/>
            <w:webHidden/>
          </w:rPr>
          <w:fldChar w:fldCharType="end"/>
        </w:r>
      </w:hyperlink>
    </w:p>
    <w:p w:rsidR="0027653D" w:rsidRDefault="009C1452" w:rsidP="0030352B">
      <w:pPr>
        <w:pStyle w:val="TableofFigures"/>
        <w:tabs>
          <w:tab w:val="right" w:leader="dot" w:pos="9062"/>
        </w:tabs>
        <w:spacing w:after="60"/>
        <w:rPr>
          <w:rFonts w:asciiTheme="minorHAnsi" w:eastAsiaTheme="minorEastAsia" w:hAnsiTheme="minorHAnsi" w:cstheme="minorBidi"/>
          <w:i w:val="0"/>
          <w:iCs w:val="0"/>
          <w:noProof/>
          <w:sz w:val="22"/>
          <w:szCs w:val="22"/>
          <w:lang w:val="en-US"/>
        </w:rPr>
      </w:pPr>
      <w:hyperlink w:anchor="_Toc493240926" w:history="1">
        <w:r w:rsidR="0027653D" w:rsidRPr="0027653D">
          <w:rPr>
            <w:rStyle w:val="Hyperlink"/>
            <w:rFonts w:ascii="Times New Roman" w:hAnsi="Times New Roman" w:cs="Times New Roman"/>
            <w:noProof/>
          </w:rPr>
          <w:t>Фигура V.10. LCOE при дисконтова норма от 7% и цени на електроенергия при среднопретеглена регионална цена само за България, Гърция, Румъния и Унгария – Сценарий 3 и при само за България, Гърция, Румъния и Унгария и частично за Сърбия и Турция – Сценарий 6</w:t>
        </w:r>
        <w:r w:rsidR="0027653D" w:rsidRPr="0027653D">
          <w:rPr>
            <w:rFonts w:ascii="Times New Roman" w:hAnsi="Times New Roman" w:cs="Times New Roman"/>
            <w:noProof/>
            <w:webHidden/>
          </w:rPr>
          <w:tab/>
        </w:r>
        <w:r w:rsidR="0097530B" w:rsidRPr="0027653D">
          <w:rPr>
            <w:rFonts w:ascii="Times New Roman" w:hAnsi="Times New Roman" w:cs="Times New Roman"/>
            <w:noProof/>
            <w:webHidden/>
          </w:rPr>
          <w:fldChar w:fldCharType="begin"/>
        </w:r>
        <w:r w:rsidR="0027653D" w:rsidRPr="0027653D">
          <w:rPr>
            <w:rFonts w:ascii="Times New Roman" w:hAnsi="Times New Roman" w:cs="Times New Roman"/>
            <w:noProof/>
            <w:webHidden/>
          </w:rPr>
          <w:instrText xml:space="preserve"> PAGEREF _Toc493240926 \h </w:instrText>
        </w:r>
        <w:r w:rsidR="0097530B" w:rsidRPr="0027653D">
          <w:rPr>
            <w:rFonts w:ascii="Times New Roman" w:hAnsi="Times New Roman" w:cs="Times New Roman"/>
            <w:noProof/>
            <w:webHidden/>
          </w:rPr>
        </w:r>
        <w:r w:rsidR="0097530B" w:rsidRPr="0027653D">
          <w:rPr>
            <w:rFonts w:ascii="Times New Roman" w:hAnsi="Times New Roman" w:cs="Times New Roman"/>
            <w:noProof/>
            <w:webHidden/>
          </w:rPr>
          <w:fldChar w:fldCharType="separate"/>
        </w:r>
        <w:r w:rsidR="00F44EBF">
          <w:rPr>
            <w:rFonts w:ascii="Times New Roman" w:hAnsi="Times New Roman" w:cs="Times New Roman"/>
            <w:noProof/>
            <w:webHidden/>
          </w:rPr>
          <w:t>66</w:t>
        </w:r>
        <w:r w:rsidR="0097530B" w:rsidRPr="0027653D">
          <w:rPr>
            <w:rFonts w:ascii="Times New Roman" w:hAnsi="Times New Roman" w:cs="Times New Roman"/>
            <w:noProof/>
            <w:webHidden/>
          </w:rPr>
          <w:fldChar w:fldCharType="end"/>
        </w:r>
      </w:hyperlink>
    </w:p>
    <w:p w:rsidR="00F3325A" w:rsidRDefault="0097530B" w:rsidP="0030352B">
      <w:pPr>
        <w:pStyle w:val="TableofFigures"/>
        <w:tabs>
          <w:tab w:val="right" w:leader="underscore" w:pos="9062"/>
        </w:tabs>
        <w:spacing w:after="60"/>
        <w:rPr>
          <w:rFonts w:ascii="Times New Roman" w:hAnsi="Times New Roman" w:cs="Times New Roman"/>
          <w:b/>
          <w:sz w:val="24"/>
          <w:szCs w:val="24"/>
        </w:rPr>
      </w:pPr>
      <w:r w:rsidRPr="00A977E1">
        <w:rPr>
          <w:rFonts w:ascii="Times New Roman" w:eastAsia="Times New Roman" w:hAnsi="Times New Roman" w:cs="Times New Roman"/>
          <w:i w:val="0"/>
          <w:iCs w:val="0"/>
          <w:noProof/>
        </w:rPr>
        <w:fldChar w:fldCharType="end"/>
      </w:r>
      <w:r w:rsidR="00F3325A">
        <w:rPr>
          <w:rFonts w:ascii="Times New Roman" w:hAnsi="Times New Roman" w:cs="Times New Roman"/>
          <w:b/>
          <w:sz w:val="24"/>
          <w:szCs w:val="24"/>
        </w:rPr>
        <w:br w:type="page"/>
      </w:r>
    </w:p>
    <w:p w:rsidR="00CD119E" w:rsidRPr="00CD119E" w:rsidRDefault="00CD119E" w:rsidP="00CD119E">
      <w:pPr>
        <w:spacing w:after="0" w:line="240" w:lineRule="auto"/>
        <w:jc w:val="center"/>
        <w:rPr>
          <w:rFonts w:ascii="Times New Roman" w:hAnsi="Times New Roman" w:cs="Times New Roman"/>
          <w:b/>
          <w:sz w:val="24"/>
          <w:szCs w:val="24"/>
        </w:rPr>
      </w:pPr>
      <w:r w:rsidRPr="00CD119E">
        <w:rPr>
          <w:rFonts w:ascii="Times New Roman" w:hAnsi="Times New Roman" w:cs="Times New Roman"/>
          <w:b/>
          <w:sz w:val="24"/>
          <w:szCs w:val="24"/>
        </w:rPr>
        <w:lastRenderedPageBreak/>
        <w:t>СПИСЪК НА ИЗПОЛЗВАНИТЕ СЪКРАЩЕНИЯ</w:t>
      </w:r>
    </w:p>
    <w:p w:rsidR="00CD119E" w:rsidRPr="00CD119E" w:rsidRDefault="00CD119E" w:rsidP="00CD119E">
      <w:pPr>
        <w:spacing w:after="0" w:line="240" w:lineRule="auto"/>
        <w:jc w:val="center"/>
        <w:rPr>
          <w:rFonts w:ascii="Times New Roman" w:hAnsi="Times New Roman" w:cs="Times New Roman"/>
          <w:b/>
          <w:sz w:val="24"/>
          <w:szCs w:val="24"/>
        </w:rPr>
      </w:pPr>
    </w:p>
    <w:tbl>
      <w:tblPr>
        <w:tblW w:w="0" w:type="auto"/>
        <w:tblBorders>
          <w:insideH w:val="single" w:sz="4" w:space="0" w:color="auto"/>
          <w:insideV w:val="single" w:sz="4" w:space="0" w:color="auto"/>
        </w:tblBorders>
        <w:tblLook w:val="04A0" w:firstRow="1" w:lastRow="0" w:firstColumn="1" w:lastColumn="0" w:noHBand="0" w:noVBand="1"/>
      </w:tblPr>
      <w:tblGrid>
        <w:gridCol w:w="1372"/>
        <w:gridCol w:w="7700"/>
      </w:tblGrid>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lang w:val="en-US"/>
              </w:rPr>
            </w:pPr>
            <w:r w:rsidRPr="00F3325A">
              <w:rPr>
                <w:rFonts w:ascii="Times New Roman" w:hAnsi="Times New Roman" w:cs="Times New Roman"/>
                <w:sz w:val="20"/>
                <w:szCs w:val="20"/>
                <w:lang w:val="en-US"/>
              </w:rPr>
              <w:t>IRR</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lang w:val="en-US"/>
              </w:rPr>
            </w:pPr>
            <w:r w:rsidRPr="00F3325A">
              <w:rPr>
                <w:rFonts w:ascii="Times New Roman" w:hAnsi="Times New Roman" w:cs="Times New Roman"/>
                <w:sz w:val="20"/>
                <w:szCs w:val="20"/>
                <w:lang w:val="en-US"/>
              </w:rPr>
              <w:t xml:space="preserve">Internal Rate of Return </w:t>
            </w:r>
          </w:p>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Вътрешна норма на възвръщаемост</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lang w:val="en-US"/>
              </w:rPr>
            </w:pPr>
            <w:r w:rsidRPr="00F3325A">
              <w:rPr>
                <w:rFonts w:ascii="Times New Roman" w:hAnsi="Times New Roman" w:cs="Times New Roman"/>
                <w:sz w:val="20"/>
                <w:szCs w:val="20"/>
                <w:lang w:val="en-US"/>
              </w:rPr>
              <w:t>LCOE</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Levelised</w:t>
            </w:r>
            <w:r w:rsidR="00505B2E">
              <w:rPr>
                <w:rFonts w:ascii="Times New Roman" w:hAnsi="Times New Roman" w:cs="Times New Roman"/>
                <w:sz w:val="20"/>
                <w:szCs w:val="20"/>
              </w:rPr>
              <w:t xml:space="preserve"> </w:t>
            </w:r>
            <w:r w:rsidRPr="00F3325A">
              <w:rPr>
                <w:rFonts w:ascii="Times New Roman" w:hAnsi="Times New Roman" w:cs="Times New Roman"/>
                <w:sz w:val="20"/>
                <w:szCs w:val="20"/>
              </w:rPr>
              <w:t>cost</w:t>
            </w:r>
            <w:r w:rsidR="00505B2E">
              <w:rPr>
                <w:rFonts w:ascii="Times New Roman" w:hAnsi="Times New Roman" w:cs="Times New Roman"/>
                <w:sz w:val="20"/>
                <w:szCs w:val="20"/>
              </w:rPr>
              <w:t xml:space="preserve"> </w:t>
            </w:r>
            <w:r w:rsidRPr="00F3325A">
              <w:rPr>
                <w:rFonts w:ascii="Times New Roman" w:hAnsi="Times New Roman" w:cs="Times New Roman"/>
                <w:sz w:val="20"/>
                <w:szCs w:val="20"/>
              </w:rPr>
              <w:t>of</w:t>
            </w:r>
            <w:r w:rsidR="00505B2E">
              <w:rPr>
                <w:rFonts w:ascii="Times New Roman" w:hAnsi="Times New Roman" w:cs="Times New Roman"/>
                <w:sz w:val="20"/>
                <w:szCs w:val="20"/>
              </w:rPr>
              <w:t xml:space="preserve"> </w:t>
            </w:r>
            <w:r w:rsidRPr="00F3325A">
              <w:rPr>
                <w:rFonts w:ascii="Times New Roman" w:hAnsi="Times New Roman" w:cs="Times New Roman"/>
                <w:sz w:val="20"/>
                <w:szCs w:val="20"/>
              </w:rPr>
              <w:t>electricity</w:t>
            </w:r>
          </w:p>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 xml:space="preserve">Изгладени разходи за електрическа енергия </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lang w:val="en-US"/>
              </w:rPr>
            </w:pPr>
            <w:r w:rsidRPr="00F3325A">
              <w:rPr>
                <w:rFonts w:ascii="Times New Roman" w:hAnsi="Times New Roman" w:cs="Times New Roman"/>
                <w:sz w:val="20"/>
                <w:szCs w:val="20"/>
                <w:lang w:val="en-US"/>
              </w:rPr>
              <w:t>NPV</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lang w:val="en-US"/>
              </w:rPr>
            </w:pPr>
            <w:r w:rsidRPr="00F3325A">
              <w:rPr>
                <w:rFonts w:ascii="Times New Roman" w:hAnsi="Times New Roman" w:cs="Times New Roman"/>
                <w:sz w:val="20"/>
                <w:szCs w:val="20"/>
                <w:lang w:val="en-US"/>
              </w:rPr>
              <w:t xml:space="preserve">Net Present Value </w:t>
            </w:r>
          </w:p>
          <w:p w:rsidR="00CD119E" w:rsidRPr="00F3325A" w:rsidRDefault="00CD119E" w:rsidP="00F3325A">
            <w:pPr>
              <w:spacing w:before="60" w:after="0" w:line="240" w:lineRule="auto"/>
              <w:rPr>
                <w:rFonts w:ascii="Times New Roman" w:hAnsi="Times New Roman" w:cs="Times New Roman"/>
                <w:sz w:val="20"/>
                <w:szCs w:val="20"/>
                <w:lang w:val="en-US"/>
              </w:rPr>
            </w:pPr>
            <w:r w:rsidRPr="00F3325A">
              <w:rPr>
                <w:rFonts w:ascii="Times New Roman" w:hAnsi="Times New Roman" w:cs="Times New Roman"/>
                <w:sz w:val="20"/>
                <w:szCs w:val="20"/>
              </w:rPr>
              <w:t>Нетна настояща стойност</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RPSD</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Restructuring, Productivity, Sustainable</w:t>
            </w:r>
            <w:r w:rsidR="00505B2E">
              <w:rPr>
                <w:rFonts w:ascii="Times New Roman" w:hAnsi="Times New Roman" w:cs="Times New Roman"/>
                <w:sz w:val="20"/>
                <w:szCs w:val="20"/>
              </w:rPr>
              <w:t xml:space="preserve"> </w:t>
            </w:r>
            <w:r w:rsidRPr="00F3325A">
              <w:rPr>
                <w:rFonts w:ascii="Times New Roman" w:hAnsi="Times New Roman" w:cs="Times New Roman"/>
                <w:sz w:val="20"/>
                <w:szCs w:val="20"/>
              </w:rPr>
              <w:t>Development – алгоритъм за преструктуриране, нарастваща продуктивност и устойчиво развитие</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lang w:val="en-US"/>
              </w:rPr>
            </w:pPr>
            <w:r w:rsidRPr="00F3325A">
              <w:rPr>
                <w:rFonts w:ascii="Times New Roman" w:hAnsi="Times New Roman" w:cs="Times New Roman"/>
                <w:sz w:val="20"/>
                <w:szCs w:val="20"/>
                <w:lang w:val="en-US"/>
              </w:rPr>
              <w:t>WACC</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lang w:val="en-US"/>
              </w:rPr>
            </w:pPr>
            <w:r w:rsidRPr="00F3325A">
              <w:rPr>
                <w:rFonts w:ascii="Times New Roman" w:hAnsi="Times New Roman" w:cs="Times New Roman"/>
                <w:sz w:val="20"/>
                <w:szCs w:val="20"/>
              </w:rPr>
              <w:t>Weighted</w:t>
            </w:r>
            <w:r w:rsidR="00505B2E">
              <w:rPr>
                <w:rFonts w:ascii="Times New Roman" w:hAnsi="Times New Roman" w:cs="Times New Roman"/>
                <w:sz w:val="20"/>
                <w:szCs w:val="20"/>
              </w:rPr>
              <w:t xml:space="preserve"> </w:t>
            </w:r>
            <w:r w:rsidRPr="00F3325A">
              <w:rPr>
                <w:rFonts w:ascii="Times New Roman" w:hAnsi="Times New Roman" w:cs="Times New Roman"/>
                <w:sz w:val="20"/>
                <w:szCs w:val="20"/>
              </w:rPr>
              <w:t>average</w:t>
            </w:r>
            <w:r w:rsidR="00505B2E">
              <w:rPr>
                <w:rFonts w:ascii="Times New Roman" w:hAnsi="Times New Roman" w:cs="Times New Roman"/>
                <w:sz w:val="20"/>
                <w:szCs w:val="20"/>
              </w:rPr>
              <w:t xml:space="preserve"> </w:t>
            </w:r>
            <w:r w:rsidRPr="00F3325A">
              <w:rPr>
                <w:rFonts w:ascii="Times New Roman" w:hAnsi="Times New Roman" w:cs="Times New Roman"/>
                <w:sz w:val="20"/>
                <w:szCs w:val="20"/>
              </w:rPr>
              <w:t>cost</w:t>
            </w:r>
            <w:r w:rsidR="00505B2E">
              <w:rPr>
                <w:rFonts w:ascii="Times New Roman" w:hAnsi="Times New Roman" w:cs="Times New Roman"/>
                <w:sz w:val="20"/>
                <w:szCs w:val="20"/>
              </w:rPr>
              <w:t xml:space="preserve"> </w:t>
            </w:r>
            <w:r w:rsidRPr="00F3325A">
              <w:rPr>
                <w:rFonts w:ascii="Times New Roman" w:hAnsi="Times New Roman" w:cs="Times New Roman"/>
                <w:sz w:val="20"/>
                <w:szCs w:val="20"/>
              </w:rPr>
              <w:t>of</w:t>
            </w:r>
            <w:r w:rsidR="00505B2E">
              <w:rPr>
                <w:rFonts w:ascii="Times New Roman" w:hAnsi="Times New Roman" w:cs="Times New Roman"/>
                <w:sz w:val="20"/>
                <w:szCs w:val="20"/>
              </w:rPr>
              <w:t xml:space="preserve"> </w:t>
            </w:r>
            <w:r w:rsidRPr="00F3325A">
              <w:rPr>
                <w:rFonts w:ascii="Times New Roman" w:hAnsi="Times New Roman" w:cs="Times New Roman"/>
                <w:sz w:val="20"/>
                <w:szCs w:val="20"/>
              </w:rPr>
              <w:t>capital</w:t>
            </w:r>
          </w:p>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Претеглени средни разходи за капитала</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АЕЦ</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Атомна електроцентрала</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АЯР</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 xml:space="preserve">Агенция </w:t>
            </w:r>
            <w:r w:rsidR="00D44B59">
              <w:rPr>
                <w:rFonts w:ascii="Times New Roman" w:hAnsi="Times New Roman" w:cs="Times New Roman"/>
                <w:sz w:val="20"/>
                <w:szCs w:val="20"/>
              </w:rPr>
              <w:t>за</w:t>
            </w:r>
            <w:r w:rsidRPr="00F3325A">
              <w:rPr>
                <w:rFonts w:ascii="Times New Roman" w:hAnsi="Times New Roman" w:cs="Times New Roman"/>
                <w:sz w:val="20"/>
                <w:szCs w:val="20"/>
              </w:rPr>
              <w:t xml:space="preserve"> ядрено регулиране</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БАН</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Българска академия на науките</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БВП</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Брутен вътрешен продукт</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БЕХ ЕАД</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„Български енергиен холдинг“ ЕАД</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ДЗПО</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Допълнително задължително пенсионно осигуряване</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ЕАД</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Еднолично акционерно дружество</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ЕК</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Европейска комисия</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ЕС</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Европейски съюз</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ЗБИЯЕ</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Закон за безопасно използване на ядрената енергия</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ЗЕ</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Закон за енергетиката</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ЗЕЕ</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Закон за енергийната ефективност</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ЗООС</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Закон за опазване на околната среда</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ЗОП</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Закон за обществените поръчки</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ЗУТ</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Закон за устройство на територията</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ИЕЯС</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Извеждане от експлоатация на ядрени съоръжения</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ИМС</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Имоти, машини и съоръжения</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ИП</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Инвестиционен процес</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КЕВР</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Комисия за енергийно и водно регулиране</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КЗК</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Комисия за защита на конкуренцията</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МЕ</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Министерство на енергетиката</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МОСВ</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 xml:space="preserve">Министерство на околната среда и водите </w:t>
            </w:r>
          </w:p>
        </w:tc>
      </w:tr>
      <w:tr w:rsidR="00D44B59"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D44B59" w:rsidRPr="00F3325A" w:rsidRDefault="00D44B59" w:rsidP="00F3325A">
            <w:pPr>
              <w:spacing w:before="60" w:after="0" w:line="240" w:lineRule="auto"/>
              <w:rPr>
                <w:rFonts w:ascii="Times New Roman" w:hAnsi="Times New Roman" w:cs="Times New Roman"/>
                <w:sz w:val="20"/>
                <w:szCs w:val="20"/>
              </w:rPr>
            </w:pPr>
            <w:r>
              <w:rPr>
                <w:rFonts w:ascii="Times New Roman" w:hAnsi="Times New Roman" w:cs="Times New Roman"/>
                <w:sz w:val="20"/>
                <w:szCs w:val="20"/>
              </w:rPr>
              <w:t>МС</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D44B59" w:rsidRPr="00F3325A" w:rsidRDefault="00D44B59" w:rsidP="00F3325A">
            <w:pPr>
              <w:spacing w:before="60" w:after="0" w:line="240" w:lineRule="auto"/>
              <w:rPr>
                <w:rFonts w:ascii="Times New Roman" w:hAnsi="Times New Roman" w:cs="Times New Roman"/>
                <w:sz w:val="20"/>
                <w:szCs w:val="20"/>
              </w:rPr>
            </w:pPr>
            <w:r>
              <w:rPr>
                <w:rFonts w:ascii="Times New Roman" w:hAnsi="Times New Roman" w:cs="Times New Roman"/>
                <w:sz w:val="20"/>
                <w:szCs w:val="20"/>
              </w:rPr>
              <w:t>Министерски съвет</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„НЕК“ ЕАД</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Национална електрическа компания</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НОИ</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Национален осигурителен институт</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ОЯГ</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Отработено ядрено гориво</w:t>
            </w:r>
          </w:p>
        </w:tc>
      </w:tr>
      <w:tr w:rsidR="00D44B59"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D44B59" w:rsidRPr="00F3325A" w:rsidRDefault="00D44B59" w:rsidP="00F3325A">
            <w:pPr>
              <w:spacing w:before="60" w:after="0" w:line="240" w:lineRule="auto"/>
              <w:rPr>
                <w:rFonts w:ascii="Times New Roman" w:hAnsi="Times New Roman" w:cs="Times New Roman"/>
                <w:sz w:val="20"/>
                <w:szCs w:val="20"/>
              </w:rPr>
            </w:pPr>
            <w:r>
              <w:rPr>
                <w:rFonts w:ascii="Times New Roman" w:hAnsi="Times New Roman" w:cs="Times New Roman"/>
                <w:sz w:val="20"/>
                <w:szCs w:val="20"/>
              </w:rPr>
              <w:t>РАО</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D44B59" w:rsidRPr="00F3325A" w:rsidRDefault="00D44B59" w:rsidP="00F3325A">
            <w:pPr>
              <w:spacing w:before="60" w:after="0" w:line="240" w:lineRule="auto"/>
              <w:rPr>
                <w:rFonts w:ascii="Times New Roman" w:hAnsi="Times New Roman" w:cs="Times New Roman"/>
                <w:sz w:val="20"/>
                <w:szCs w:val="20"/>
              </w:rPr>
            </w:pPr>
            <w:r>
              <w:rPr>
                <w:rFonts w:ascii="Times New Roman" w:hAnsi="Times New Roman" w:cs="Times New Roman"/>
                <w:sz w:val="20"/>
                <w:szCs w:val="20"/>
              </w:rPr>
              <w:t>Радиоактивни отпадъци</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СМР</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Строително-монтажни работи</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СО</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Социално осигуряване</w:t>
            </w:r>
          </w:p>
        </w:tc>
      </w:tr>
      <w:tr w:rsidR="00CD119E" w:rsidRPr="00F3325A" w:rsidTr="00483103">
        <w:tc>
          <w:tcPr>
            <w:tcW w:w="1372"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ТЗ</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CD119E" w:rsidRPr="00F3325A" w:rsidRDefault="00CD119E" w:rsidP="00F3325A">
            <w:pPr>
              <w:spacing w:before="60" w:after="0" w:line="240" w:lineRule="auto"/>
              <w:rPr>
                <w:rFonts w:ascii="Times New Roman" w:hAnsi="Times New Roman" w:cs="Times New Roman"/>
                <w:sz w:val="20"/>
                <w:szCs w:val="20"/>
              </w:rPr>
            </w:pPr>
            <w:r w:rsidRPr="00F3325A">
              <w:rPr>
                <w:rFonts w:ascii="Times New Roman" w:hAnsi="Times New Roman" w:cs="Times New Roman"/>
                <w:sz w:val="20"/>
                <w:szCs w:val="20"/>
              </w:rPr>
              <w:t>Техническо задание</w:t>
            </w:r>
          </w:p>
        </w:tc>
      </w:tr>
    </w:tbl>
    <w:p w:rsidR="00AF670B" w:rsidRPr="00CD119E" w:rsidRDefault="00AF670B" w:rsidP="00CD119E">
      <w:pPr>
        <w:spacing w:after="0" w:line="240" w:lineRule="auto"/>
        <w:ind w:left="142"/>
        <w:jc w:val="center"/>
        <w:rPr>
          <w:rFonts w:ascii="Times New Roman" w:eastAsia="Times New Roman" w:hAnsi="Times New Roman" w:cs="Times New Roman"/>
          <w:b/>
          <w:spacing w:val="40"/>
          <w:sz w:val="24"/>
          <w:szCs w:val="24"/>
        </w:rPr>
      </w:pPr>
      <w:r w:rsidRPr="00CD119E">
        <w:rPr>
          <w:rFonts w:ascii="Times New Roman" w:eastAsia="Times New Roman" w:hAnsi="Times New Roman" w:cs="Times New Roman"/>
          <w:b/>
          <w:spacing w:val="40"/>
          <w:sz w:val="24"/>
          <w:szCs w:val="24"/>
        </w:rPr>
        <w:br w:type="page"/>
      </w:r>
    </w:p>
    <w:p w:rsidR="003C18F1" w:rsidRPr="00084258" w:rsidRDefault="003C18F1" w:rsidP="003C18F1">
      <w:pPr>
        <w:spacing w:after="240" w:line="240" w:lineRule="auto"/>
        <w:jc w:val="both"/>
        <w:rPr>
          <w:rFonts w:ascii="Times New Roman" w:eastAsia="Times New Roman" w:hAnsi="Times New Roman"/>
          <w:b/>
          <w:bCs/>
          <w:iCs/>
          <w:smallCaps/>
          <w:kern w:val="32"/>
          <w:sz w:val="24"/>
          <w:szCs w:val="24"/>
          <w:lang w:eastAsia="mk-MK"/>
        </w:rPr>
      </w:pPr>
      <w:r w:rsidRPr="00084258">
        <w:rPr>
          <w:rFonts w:ascii="Times New Roman" w:eastAsia="Times New Roman" w:hAnsi="Times New Roman"/>
          <w:b/>
          <w:bCs/>
          <w:iCs/>
          <w:smallCaps/>
          <w:kern w:val="32"/>
          <w:sz w:val="24"/>
          <w:szCs w:val="24"/>
          <w:lang w:eastAsia="mk-MK"/>
        </w:rPr>
        <w:lastRenderedPageBreak/>
        <w:t>Въведение</w:t>
      </w:r>
    </w:p>
    <w:p w:rsidR="003C18F1" w:rsidRPr="00084258" w:rsidRDefault="003C18F1" w:rsidP="003C18F1">
      <w:pPr>
        <w:spacing w:before="120" w:after="120" w:line="240" w:lineRule="auto"/>
        <w:jc w:val="both"/>
        <w:rPr>
          <w:rFonts w:ascii="Times New Roman" w:eastAsia="Times New Roman" w:hAnsi="Times New Roman"/>
          <w:sz w:val="24"/>
          <w:szCs w:val="24"/>
        </w:rPr>
      </w:pPr>
      <w:r w:rsidRPr="00084258">
        <w:rPr>
          <w:rFonts w:ascii="Times New Roman" w:eastAsia="Times New Roman" w:hAnsi="Times New Roman"/>
          <w:sz w:val="24"/>
          <w:szCs w:val="24"/>
        </w:rPr>
        <w:t xml:space="preserve">На 30 януари 2017 г. между „Български </w:t>
      </w:r>
      <w:r w:rsidRPr="00084258">
        <w:rPr>
          <w:rFonts w:ascii="Times New Roman" w:eastAsia="Times New Roman" w:hAnsi="Times New Roman"/>
          <w:caps/>
          <w:sz w:val="24"/>
          <w:szCs w:val="24"/>
        </w:rPr>
        <w:t>е</w:t>
      </w:r>
      <w:r w:rsidRPr="00084258">
        <w:rPr>
          <w:rFonts w:ascii="Times New Roman" w:eastAsia="Times New Roman" w:hAnsi="Times New Roman"/>
          <w:sz w:val="24"/>
          <w:szCs w:val="24"/>
        </w:rPr>
        <w:t xml:space="preserve">нергиен </w:t>
      </w:r>
      <w:r w:rsidRPr="00084258">
        <w:rPr>
          <w:rFonts w:ascii="Times New Roman" w:eastAsia="Times New Roman" w:hAnsi="Times New Roman"/>
          <w:caps/>
          <w:sz w:val="24"/>
          <w:szCs w:val="24"/>
        </w:rPr>
        <w:t>х</w:t>
      </w:r>
      <w:r w:rsidRPr="00084258">
        <w:rPr>
          <w:rFonts w:ascii="Times New Roman" w:eastAsia="Times New Roman" w:hAnsi="Times New Roman"/>
          <w:sz w:val="24"/>
          <w:szCs w:val="24"/>
        </w:rPr>
        <w:t>олдинг” ЕАД и Българската академия на науките беше подписан договор за изготвяне на Национална стратегия в областта на енергетиката. Българската академия на науките (БАН) започна изпълнението веднага след подписването на договора.</w:t>
      </w:r>
    </w:p>
    <w:p w:rsidR="003C18F1" w:rsidRPr="00084258" w:rsidRDefault="003C18F1" w:rsidP="003C18F1">
      <w:pPr>
        <w:spacing w:before="120" w:after="120" w:line="240" w:lineRule="auto"/>
        <w:jc w:val="both"/>
        <w:rPr>
          <w:rFonts w:ascii="Times New Roman" w:eastAsia="Times New Roman" w:hAnsi="Times New Roman"/>
          <w:sz w:val="24"/>
          <w:szCs w:val="24"/>
        </w:rPr>
      </w:pPr>
      <w:r w:rsidRPr="00084258">
        <w:rPr>
          <w:rFonts w:ascii="Times New Roman" w:eastAsia="Times New Roman" w:hAnsi="Times New Roman"/>
          <w:sz w:val="24"/>
          <w:szCs w:val="24"/>
        </w:rPr>
        <w:t xml:space="preserve">Основните данни за този договор (проект) са представени в </w:t>
      </w:r>
      <w:r w:rsidRPr="00084258">
        <w:rPr>
          <w:rFonts w:ascii="Times New Roman" w:eastAsia="Times New Roman" w:hAnsi="Times New Roman"/>
          <w:caps/>
          <w:sz w:val="24"/>
          <w:szCs w:val="24"/>
        </w:rPr>
        <w:t>т</w:t>
      </w:r>
      <w:r w:rsidRPr="00084258">
        <w:rPr>
          <w:rFonts w:ascii="Times New Roman" w:eastAsia="Times New Roman" w:hAnsi="Times New Roman"/>
          <w:sz w:val="24"/>
          <w:szCs w:val="24"/>
        </w:rPr>
        <w:t>аблица 1.</w:t>
      </w:r>
    </w:p>
    <w:p w:rsidR="003C18F1" w:rsidRPr="00084258" w:rsidRDefault="003C18F1" w:rsidP="003C18F1">
      <w:pPr>
        <w:tabs>
          <w:tab w:val="left" w:pos="1080"/>
        </w:tabs>
        <w:spacing w:before="120" w:after="120" w:line="240" w:lineRule="auto"/>
        <w:jc w:val="center"/>
        <w:rPr>
          <w:rFonts w:ascii="Times New Roman" w:eastAsia="Times New Roman" w:hAnsi="Times New Roman"/>
          <w:b/>
          <w:sz w:val="24"/>
          <w:szCs w:val="24"/>
        </w:rPr>
      </w:pPr>
      <w:r w:rsidRPr="00084258">
        <w:rPr>
          <w:rFonts w:ascii="Times New Roman" w:eastAsia="Times New Roman" w:hAnsi="Times New Roman"/>
          <w:b/>
          <w:sz w:val="24"/>
          <w:szCs w:val="24"/>
        </w:rPr>
        <w:t>Таблица 1. Основни данни за договора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5919"/>
      </w:tblGrid>
      <w:tr w:rsidR="003C18F1" w:rsidRPr="00084258" w:rsidTr="003C18F1">
        <w:tc>
          <w:tcPr>
            <w:tcW w:w="3261" w:type="dxa"/>
            <w:shd w:val="clear" w:color="auto" w:fill="F2F2F2"/>
            <w:vAlign w:val="center"/>
          </w:tcPr>
          <w:p w:rsidR="003C18F1" w:rsidRPr="00084258" w:rsidRDefault="003C18F1" w:rsidP="003C18F1">
            <w:pPr>
              <w:spacing w:before="120" w:after="120" w:line="240" w:lineRule="auto"/>
              <w:rPr>
                <w:rFonts w:ascii="Times New Roman" w:eastAsia="Times New Roman" w:hAnsi="Times New Roman"/>
                <w:b/>
                <w:sz w:val="24"/>
                <w:szCs w:val="24"/>
              </w:rPr>
            </w:pPr>
            <w:r w:rsidRPr="00084258">
              <w:rPr>
                <w:rFonts w:ascii="Times New Roman" w:eastAsia="Times New Roman" w:hAnsi="Times New Roman"/>
                <w:b/>
                <w:sz w:val="24"/>
                <w:szCs w:val="24"/>
              </w:rPr>
              <w:t>№ на договора</w:t>
            </w:r>
          </w:p>
        </w:tc>
        <w:tc>
          <w:tcPr>
            <w:tcW w:w="5919" w:type="dxa"/>
            <w:vAlign w:val="center"/>
          </w:tcPr>
          <w:p w:rsidR="003C18F1" w:rsidRPr="00084258" w:rsidRDefault="003C18F1" w:rsidP="003C18F1">
            <w:pPr>
              <w:spacing w:before="120" w:after="120" w:line="240" w:lineRule="auto"/>
              <w:rPr>
                <w:rFonts w:ascii="Times New Roman" w:eastAsia="Times New Roman" w:hAnsi="Times New Roman"/>
                <w:sz w:val="24"/>
                <w:szCs w:val="24"/>
              </w:rPr>
            </w:pPr>
            <w:r w:rsidRPr="00084258">
              <w:rPr>
                <w:rFonts w:ascii="Times New Roman" w:eastAsia="Times New Roman" w:hAnsi="Times New Roman"/>
                <w:sz w:val="24"/>
                <w:szCs w:val="24"/>
              </w:rPr>
              <w:t>3-2017/30.01.2017</w:t>
            </w:r>
          </w:p>
        </w:tc>
      </w:tr>
      <w:tr w:rsidR="003C18F1" w:rsidRPr="00084258" w:rsidTr="003C18F1">
        <w:tc>
          <w:tcPr>
            <w:tcW w:w="3261" w:type="dxa"/>
            <w:shd w:val="clear" w:color="auto" w:fill="F2F2F2"/>
            <w:vAlign w:val="center"/>
          </w:tcPr>
          <w:p w:rsidR="003C18F1" w:rsidRPr="00084258" w:rsidRDefault="003C18F1" w:rsidP="003C18F1">
            <w:pPr>
              <w:spacing w:before="120" w:after="120" w:line="240" w:lineRule="auto"/>
              <w:rPr>
                <w:rFonts w:ascii="Times New Roman" w:eastAsia="Times New Roman" w:hAnsi="Times New Roman"/>
                <w:b/>
                <w:sz w:val="24"/>
                <w:szCs w:val="24"/>
              </w:rPr>
            </w:pPr>
            <w:r w:rsidRPr="00084258">
              <w:rPr>
                <w:rFonts w:ascii="Times New Roman" w:eastAsia="Times New Roman" w:hAnsi="Times New Roman"/>
                <w:b/>
                <w:sz w:val="24"/>
                <w:szCs w:val="24"/>
              </w:rPr>
              <w:t>Предмет:</w:t>
            </w:r>
          </w:p>
        </w:tc>
        <w:tc>
          <w:tcPr>
            <w:tcW w:w="5919" w:type="dxa"/>
            <w:vAlign w:val="center"/>
          </w:tcPr>
          <w:p w:rsidR="003C18F1" w:rsidRPr="00084258" w:rsidRDefault="003C18F1" w:rsidP="003C18F1">
            <w:pPr>
              <w:spacing w:before="120" w:after="120" w:line="240" w:lineRule="auto"/>
              <w:rPr>
                <w:rFonts w:ascii="Times New Roman" w:eastAsia="Times New Roman" w:hAnsi="Times New Roman"/>
                <w:sz w:val="24"/>
                <w:szCs w:val="24"/>
              </w:rPr>
            </w:pPr>
            <w:r w:rsidRPr="00084258">
              <w:rPr>
                <w:rFonts w:ascii="Times New Roman" w:eastAsia="Times New Roman" w:hAnsi="Times New Roman"/>
                <w:sz w:val="24"/>
                <w:szCs w:val="24"/>
              </w:rPr>
              <w:t>„Изготвяне на Национална стратегия в областта на енергетиката (с фокус върху електроенергетиката)”</w:t>
            </w:r>
          </w:p>
        </w:tc>
      </w:tr>
      <w:tr w:rsidR="003C18F1" w:rsidRPr="00084258" w:rsidTr="003C18F1">
        <w:tc>
          <w:tcPr>
            <w:tcW w:w="3261" w:type="dxa"/>
            <w:tcBorders>
              <w:top w:val="single" w:sz="4" w:space="0" w:color="auto"/>
              <w:left w:val="single" w:sz="4" w:space="0" w:color="auto"/>
              <w:bottom w:val="single" w:sz="4" w:space="0" w:color="auto"/>
              <w:right w:val="single" w:sz="4" w:space="0" w:color="auto"/>
            </w:tcBorders>
            <w:shd w:val="clear" w:color="auto" w:fill="F2F2F2"/>
            <w:vAlign w:val="center"/>
          </w:tcPr>
          <w:p w:rsidR="003C18F1" w:rsidRPr="00084258" w:rsidRDefault="003C18F1" w:rsidP="003C18F1">
            <w:pPr>
              <w:spacing w:before="120" w:after="120" w:line="240" w:lineRule="auto"/>
              <w:rPr>
                <w:rFonts w:ascii="Times New Roman" w:eastAsia="Times New Roman" w:hAnsi="Times New Roman"/>
                <w:b/>
                <w:sz w:val="24"/>
                <w:szCs w:val="24"/>
              </w:rPr>
            </w:pPr>
            <w:r w:rsidRPr="00084258">
              <w:rPr>
                <w:rFonts w:ascii="Times New Roman" w:eastAsia="Times New Roman" w:hAnsi="Times New Roman"/>
                <w:b/>
                <w:sz w:val="24"/>
                <w:szCs w:val="24"/>
              </w:rPr>
              <w:t>Териториален обхват на проекта:</w:t>
            </w:r>
          </w:p>
        </w:tc>
        <w:tc>
          <w:tcPr>
            <w:tcW w:w="5919" w:type="dxa"/>
            <w:tcBorders>
              <w:top w:val="single" w:sz="4" w:space="0" w:color="auto"/>
              <w:left w:val="single" w:sz="4" w:space="0" w:color="auto"/>
              <w:bottom w:val="single" w:sz="4" w:space="0" w:color="auto"/>
              <w:right w:val="single" w:sz="4" w:space="0" w:color="auto"/>
            </w:tcBorders>
            <w:vAlign w:val="center"/>
          </w:tcPr>
          <w:p w:rsidR="003C18F1" w:rsidRPr="00084258" w:rsidRDefault="003C18F1" w:rsidP="003C18F1">
            <w:pPr>
              <w:spacing w:before="120" w:after="120" w:line="240" w:lineRule="auto"/>
              <w:rPr>
                <w:rFonts w:ascii="Times New Roman" w:eastAsia="Times New Roman" w:hAnsi="Times New Roman"/>
                <w:sz w:val="24"/>
                <w:szCs w:val="24"/>
              </w:rPr>
            </w:pPr>
            <w:r w:rsidRPr="00084258">
              <w:rPr>
                <w:rFonts w:ascii="Times New Roman" w:eastAsia="Times New Roman" w:hAnsi="Times New Roman"/>
                <w:sz w:val="24"/>
                <w:szCs w:val="24"/>
              </w:rPr>
              <w:t>Р. България</w:t>
            </w:r>
          </w:p>
        </w:tc>
      </w:tr>
      <w:tr w:rsidR="003C18F1" w:rsidRPr="00084258" w:rsidTr="003C18F1">
        <w:tc>
          <w:tcPr>
            <w:tcW w:w="3261" w:type="dxa"/>
            <w:tcBorders>
              <w:top w:val="single" w:sz="4" w:space="0" w:color="auto"/>
              <w:left w:val="single" w:sz="4" w:space="0" w:color="auto"/>
              <w:bottom w:val="single" w:sz="4" w:space="0" w:color="auto"/>
              <w:right w:val="single" w:sz="4" w:space="0" w:color="auto"/>
            </w:tcBorders>
            <w:shd w:val="clear" w:color="auto" w:fill="F2F2F2"/>
            <w:vAlign w:val="center"/>
          </w:tcPr>
          <w:p w:rsidR="003C18F1" w:rsidRPr="00084258" w:rsidRDefault="003C18F1" w:rsidP="003C18F1">
            <w:pPr>
              <w:spacing w:before="120" w:after="120" w:line="240" w:lineRule="auto"/>
              <w:rPr>
                <w:rFonts w:ascii="Times New Roman" w:eastAsia="Times New Roman" w:hAnsi="Times New Roman"/>
                <w:b/>
                <w:sz w:val="24"/>
                <w:szCs w:val="24"/>
              </w:rPr>
            </w:pPr>
            <w:r w:rsidRPr="00084258">
              <w:rPr>
                <w:rFonts w:ascii="Times New Roman" w:eastAsia="Times New Roman" w:hAnsi="Times New Roman"/>
                <w:b/>
                <w:sz w:val="24"/>
                <w:szCs w:val="24"/>
              </w:rPr>
              <w:t>Страна:</w:t>
            </w:r>
          </w:p>
        </w:tc>
        <w:tc>
          <w:tcPr>
            <w:tcW w:w="5919" w:type="dxa"/>
            <w:tcBorders>
              <w:top w:val="single" w:sz="4" w:space="0" w:color="auto"/>
              <w:left w:val="single" w:sz="4" w:space="0" w:color="auto"/>
              <w:bottom w:val="single" w:sz="4" w:space="0" w:color="auto"/>
              <w:right w:val="single" w:sz="4" w:space="0" w:color="auto"/>
            </w:tcBorders>
            <w:vAlign w:val="center"/>
          </w:tcPr>
          <w:p w:rsidR="003C18F1" w:rsidRPr="00084258" w:rsidRDefault="003C18F1" w:rsidP="003C18F1">
            <w:pPr>
              <w:spacing w:before="120" w:after="120" w:line="240" w:lineRule="auto"/>
              <w:rPr>
                <w:rFonts w:ascii="Times New Roman" w:eastAsia="Times New Roman" w:hAnsi="Times New Roman"/>
                <w:sz w:val="24"/>
                <w:szCs w:val="24"/>
              </w:rPr>
            </w:pPr>
            <w:r w:rsidRPr="00084258">
              <w:rPr>
                <w:rFonts w:ascii="Times New Roman" w:eastAsia="Times New Roman" w:hAnsi="Times New Roman"/>
                <w:sz w:val="24"/>
                <w:szCs w:val="24"/>
              </w:rPr>
              <w:t>Р. България</w:t>
            </w:r>
          </w:p>
        </w:tc>
      </w:tr>
      <w:tr w:rsidR="003C18F1" w:rsidRPr="00084258" w:rsidTr="003C18F1">
        <w:tc>
          <w:tcPr>
            <w:tcW w:w="3261" w:type="dxa"/>
            <w:shd w:val="clear" w:color="auto" w:fill="F2F2F2"/>
            <w:vAlign w:val="center"/>
          </w:tcPr>
          <w:p w:rsidR="003C18F1" w:rsidRPr="00084258" w:rsidRDefault="003C18F1" w:rsidP="003C18F1">
            <w:pPr>
              <w:spacing w:before="120" w:after="120" w:line="240" w:lineRule="auto"/>
              <w:rPr>
                <w:rFonts w:ascii="Times New Roman" w:eastAsia="Times New Roman" w:hAnsi="Times New Roman"/>
                <w:b/>
                <w:sz w:val="24"/>
                <w:szCs w:val="24"/>
              </w:rPr>
            </w:pPr>
            <w:r w:rsidRPr="00084258">
              <w:rPr>
                <w:rFonts w:ascii="Times New Roman" w:eastAsia="Times New Roman" w:hAnsi="Times New Roman"/>
                <w:b/>
                <w:sz w:val="24"/>
                <w:szCs w:val="24"/>
              </w:rPr>
              <w:t>Възложител:</w:t>
            </w:r>
          </w:p>
        </w:tc>
        <w:tc>
          <w:tcPr>
            <w:tcW w:w="5919" w:type="dxa"/>
            <w:vAlign w:val="center"/>
          </w:tcPr>
          <w:p w:rsidR="003C18F1" w:rsidRPr="00084258" w:rsidRDefault="003C18F1" w:rsidP="003C18F1">
            <w:pPr>
              <w:spacing w:before="120" w:after="120" w:line="240" w:lineRule="auto"/>
              <w:rPr>
                <w:rFonts w:ascii="Times New Roman" w:eastAsia="Times New Roman" w:hAnsi="Times New Roman"/>
                <w:sz w:val="24"/>
                <w:szCs w:val="24"/>
              </w:rPr>
            </w:pPr>
            <w:r w:rsidRPr="00084258">
              <w:rPr>
                <w:rFonts w:ascii="Times New Roman" w:eastAsia="Times New Roman" w:hAnsi="Times New Roman"/>
                <w:sz w:val="24"/>
                <w:szCs w:val="24"/>
              </w:rPr>
              <w:t xml:space="preserve">„Български </w:t>
            </w:r>
            <w:r w:rsidRPr="00084258">
              <w:rPr>
                <w:rFonts w:ascii="Times New Roman" w:eastAsia="Times New Roman" w:hAnsi="Times New Roman"/>
                <w:caps/>
                <w:sz w:val="24"/>
                <w:szCs w:val="24"/>
              </w:rPr>
              <w:t>е</w:t>
            </w:r>
            <w:r w:rsidRPr="00084258">
              <w:rPr>
                <w:rFonts w:ascii="Times New Roman" w:eastAsia="Times New Roman" w:hAnsi="Times New Roman"/>
                <w:sz w:val="24"/>
                <w:szCs w:val="24"/>
              </w:rPr>
              <w:t xml:space="preserve">нергиен </w:t>
            </w:r>
            <w:r w:rsidRPr="00084258">
              <w:rPr>
                <w:rFonts w:ascii="Times New Roman" w:eastAsia="Times New Roman" w:hAnsi="Times New Roman"/>
                <w:caps/>
                <w:sz w:val="24"/>
                <w:szCs w:val="24"/>
              </w:rPr>
              <w:t>х</w:t>
            </w:r>
            <w:r w:rsidRPr="00084258">
              <w:rPr>
                <w:rFonts w:ascii="Times New Roman" w:eastAsia="Times New Roman" w:hAnsi="Times New Roman"/>
                <w:sz w:val="24"/>
                <w:szCs w:val="24"/>
              </w:rPr>
              <w:t>олдинг” ЕАД (БЕХ ЕАД)</w:t>
            </w:r>
          </w:p>
        </w:tc>
      </w:tr>
      <w:tr w:rsidR="003C18F1" w:rsidRPr="00084258" w:rsidTr="003C18F1">
        <w:tc>
          <w:tcPr>
            <w:tcW w:w="3261" w:type="dxa"/>
            <w:shd w:val="clear" w:color="auto" w:fill="F2F2F2"/>
            <w:vAlign w:val="center"/>
          </w:tcPr>
          <w:p w:rsidR="003C18F1" w:rsidRPr="00084258" w:rsidRDefault="003C18F1" w:rsidP="003C18F1">
            <w:pPr>
              <w:spacing w:before="120" w:after="120" w:line="240" w:lineRule="auto"/>
              <w:rPr>
                <w:rFonts w:ascii="Times New Roman" w:eastAsia="Times New Roman" w:hAnsi="Times New Roman"/>
                <w:b/>
                <w:sz w:val="24"/>
                <w:szCs w:val="24"/>
              </w:rPr>
            </w:pPr>
            <w:r w:rsidRPr="00084258">
              <w:rPr>
                <w:rFonts w:ascii="Times New Roman" w:eastAsia="Times New Roman" w:hAnsi="Times New Roman"/>
                <w:b/>
                <w:sz w:val="24"/>
                <w:szCs w:val="24"/>
              </w:rPr>
              <w:t>Продължителност:</w:t>
            </w:r>
          </w:p>
        </w:tc>
        <w:tc>
          <w:tcPr>
            <w:tcW w:w="5919" w:type="dxa"/>
            <w:vAlign w:val="center"/>
          </w:tcPr>
          <w:p w:rsidR="003C18F1" w:rsidRPr="00084258" w:rsidRDefault="003C18F1" w:rsidP="003C18F1">
            <w:pPr>
              <w:spacing w:before="120" w:after="120" w:line="240" w:lineRule="auto"/>
              <w:rPr>
                <w:rFonts w:ascii="Times New Roman" w:eastAsia="Times New Roman" w:hAnsi="Times New Roman"/>
                <w:sz w:val="24"/>
                <w:szCs w:val="24"/>
              </w:rPr>
            </w:pPr>
            <w:r w:rsidRPr="00084258">
              <w:rPr>
                <w:rFonts w:ascii="Times New Roman" w:eastAsia="Times New Roman" w:hAnsi="Times New Roman"/>
                <w:sz w:val="24"/>
                <w:szCs w:val="24"/>
              </w:rPr>
              <w:t>14 месеца</w:t>
            </w:r>
          </w:p>
        </w:tc>
      </w:tr>
      <w:tr w:rsidR="003C18F1" w:rsidRPr="00084258" w:rsidTr="003C18F1">
        <w:tc>
          <w:tcPr>
            <w:tcW w:w="3261" w:type="dxa"/>
            <w:shd w:val="clear" w:color="auto" w:fill="F2F2F2"/>
            <w:vAlign w:val="center"/>
          </w:tcPr>
          <w:p w:rsidR="003C18F1" w:rsidRPr="00084258" w:rsidRDefault="003C18F1" w:rsidP="003C18F1">
            <w:pPr>
              <w:spacing w:before="120" w:after="120" w:line="240" w:lineRule="auto"/>
              <w:rPr>
                <w:rFonts w:ascii="Times New Roman" w:eastAsia="Times New Roman" w:hAnsi="Times New Roman"/>
                <w:b/>
                <w:sz w:val="24"/>
                <w:szCs w:val="24"/>
              </w:rPr>
            </w:pPr>
            <w:r w:rsidRPr="00084258">
              <w:rPr>
                <w:rFonts w:ascii="Times New Roman" w:eastAsia="Times New Roman" w:hAnsi="Times New Roman"/>
                <w:b/>
                <w:sz w:val="24"/>
                <w:szCs w:val="24"/>
              </w:rPr>
              <w:t>Период на изпълнение:</w:t>
            </w:r>
          </w:p>
        </w:tc>
        <w:tc>
          <w:tcPr>
            <w:tcW w:w="5919" w:type="dxa"/>
            <w:vAlign w:val="center"/>
          </w:tcPr>
          <w:p w:rsidR="003C18F1" w:rsidRPr="00084258" w:rsidRDefault="003C18F1" w:rsidP="003C18F1">
            <w:pPr>
              <w:spacing w:before="120" w:after="120" w:line="240" w:lineRule="auto"/>
              <w:rPr>
                <w:rFonts w:ascii="Times New Roman" w:eastAsia="Times New Roman" w:hAnsi="Times New Roman"/>
                <w:sz w:val="24"/>
                <w:szCs w:val="24"/>
              </w:rPr>
            </w:pPr>
            <w:r w:rsidRPr="00084258">
              <w:rPr>
                <w:rFonts w:ascii="Times New Roman" w:eastAsia="Times New Roman" w:hAnsi="Times New Roman"/>
                <w:sz w:val="24"/>
                <w:szCs w:val="24"/>
              </w:rPr>
              <w:t xml:space="preserve">30 януари 2017 г. – 30  март 2018 г. </w:t>
            </w:r>
          </w:p>
        </w:tc>
      </w:tr>
      <w:tr w:rsidR="003C18F1" w:rsidRPr="00084258" w:rsidTr="003C18F1">
        <w:tc>
          <w:tcPr>
            <w:tcW w:w="3261" w:type="dxa"/>
            <w:shd w:val="clear" w:color="auto" w:fill="F2F2F2"/>
            <w:vAlign w:val="center"/>
          </w:tcPr>
          <w:p w:rsidR="003C18F1" w:rsidRPr="00084258" w:rsidRDefault="003C18F1" w:rsidP="003C18F1">
            <w:pPr>
              <w:spacing w:before="120" w:after="120" w:line="240" w:lineRule="auto"/>
              <w:rPr>
                <w:rFonts w:ascii="Times New Roman" w:eastAsia="Times New Roman" w:hAnsi="Times New Roman"/>
                <w:b/>
                <w:sz w:val="24"/>
                <w:szCs w:val="24"/>
              </w:rPr>
            </w:pPr>
            <w:r w:rsidRPr="00084258">
              <w:rPr>
                <w:rFonts w:ascii="Times New Roman" w:eastAsia="Times New Roman" w:hAnsi="Times New Roman"/>
                <w:b/>
                <w:sz w:val="24"/>
                <w:szCs w:val="24"/>
              </w:rPr>
              <w:t xml:space="preserve">Изпълнител: </w:t>
            </w:r>
          </w:p>
        </w:tc>
        <w:tc>
          <w:tcPr>
            <w:tcW w:w="5919" w:type="dxa"/>
            <w:vAlign w:val="center"/>
          </w:tcPr>
          <w:p w:rsidR="003C18F1" w:rsidRPr="00084258" w:rsidRDefault="003C18F1" w:rsidP="003C18F1">
            <w:pPr>
              <w:spacing w:before="120" w:after="120" w:line="240" w:lineRule="auto"/>
              <w:rPr>
                <w:rFonts w:ascii="Times New Roman" w:eastAsia="Times New Roman" w:hAnsi="Times New Roman"/>
                <w:sz w:val="24"/>
                <w:szCs w:val="24"/>
              </w:rPr>
            </w:pPr>
            <w:r w:rsidRPr="00084258">
              <w:rPr>
                <w:rFonts w:ascii="Times New Roman" w:eastAsia="Times New Roman" w:hAnsi="Times New Roman"/>
                <w:sz w:val="24"/>
                <w:szCs w:val="24"/>
              </w:rPr>
              <w:t>Българска академия на науките (БАН)</w:t>
            </w:r>
          </w:p>
          <w:p w:rsidR="003C18F1" w:rsidRPr="00084258" w:rsidRDefault="003C18F1" w:rsidP="003C18F1">
            <w:pPr>
              <w:spacing w:before="120" w:after="120" w:line="240" w:lineRule="auto"/>
              <w:rPr>
                <w:rFonts w:ascii="Times New Roman" w:eastAsia="Times New Roman" w:hAnsi="Times New Roman"/>
                <w:sz w:val="24"/>
                <w:szCs w:val="24"/>
              </w:rPr>
            </w:pPr>
            <w:r w:rsidRPr="00084258">
              <w:rPr>
                <w:rFonts w:ascii="Times New Roman" w:eastAsia="Times New Roman" w:hAnsi="Times New Roman"/>
                <w:sz w:val="24"/>
                <w:szCs w:val="24"/>
              </w:rPr>
              <w:t>Координатор – проф. д-р Александър Тасев, директор на Института за икономически изследвания на БАН (ИИИ-БАН)</w:t>
            </w:r>
          </w:p>
        </w:tc>
      </w:tr>
      <w:tr w:rsidR="003C18F1" w:rsidRPr="00084258" w:rsidTr="003C18F1">
        <w:tc>
          <w:tcPr>
            <w:tcW w:w="3261" w:type="dxa"/>
            <w:shd w:val="clear" w:color="auto" w:fill="F2F2F2"/>
            <w:vAlign w:val="center"/>
          </w:tcPr>
          <w:p w:rsidR="003C18F1" w:rsidRPr="00084258" w:rsidRDefault="003C18F1" w:rsidP="003C18F1">
            <w:pPr>
              <w:spacing w:before="120" w:after="120" w:line="240" w:lineRule="auto"/>
              <w:rPr>
                <w:rFonts w:ascii="Times New Roman" w:eastAsia="Times New Roman" w:hAnsi="Times New Roman"/>
                <w:b/>
                <w:sz w:val="24"/>
                <w:szCs w:val="24"/>
              </w:rPr>
            </w:pPr>
            <w:r w:rsidRPr="00084258">
              <w:rPr>
                <w:rFonts w:ascii="Times New Roman" w:eastAsia="Times New Roman" w:hAnsi="Times New Roman"/>
                <w:b/>
                <w:sz w:val="24"/>
                <w:szCs w:val="24"/>
              </w:rPr>
              <w:t>Статус по време на отчета:</w:t>
            </w:r>
          </w:p>
        </w:tc>
        <w:tc>
          <w:tcPr>
            <w:tcW w:w="5919" w:type="dxa"/>
            <w:vAlign w:val="center"/>
          </w:tcPr>
          <w:p w:rsidR="003C18F1" w:rsidRPr="00084258" w:rsidRDefault="003C18F1" w:rsidP="003C18F1">
            <w:pPr>
              <w:spacing w:before="120" w:after="120" w:line="240" w:lineRule="auto"/>
              <w:rPr>
                <w:rFonts w:ascii="Times New Roman" w:eastAsia="Times New Roman" w:hAnsi="Times New Roman"/>
                <w:sz w:val="24"/>
                <w:szCs w:val="24"/>
              </w:rPr>
            </w:pPr>
            <w:r w:rsidRPr="00084258">
              <w:rPr>
                <w:rFonts w:ascii="Times New Roman" w:eastAsia="Times New Roman" w:hAnsi="Times New Roman"/>
                <w:sz w:val="24"/>
                <w:szCs w:val="24"/>
              </w:rPr>
              <w:t xml:space="preserve">Етап 2: Разработване </w:t>
            </w:r>
          </w:p>
        </w:tc>
      </w:tr>
      <w:tr w:rsidR="003C18F1" w:rsidRPr="00084258" w:rsidTr="003C18F1">
        <w:tc>
          <w:tcPr>
            <w:tcW w:w="3261" w:type="dxa"/>
            <w:shd w:val="clear" w:color="auto" w:fill="F2F2F2"/>
            <w:vAlign w:val="center"/>
          </w:tcPr>
          <w:p w:rsidR="003C18F1" w:rsidRPr="00084258" w:rsidRDefault="003C18F1" w:rsidP="003C18F1">
            <w:pPr>
              <w:spacing w:before="120" w:after="120" w:line="240" w:lineRule="auto"/>
              <w:rPr>
                <w:rFonts w:ascii="Times New Roman" w:eastAsia="Times New Roman" w:hAnsi="Times New Roman"/>
                <w:b/>
                <w:sz w:val="24"/>
                <w:szCs w:val="24"/>
              </w:rPr>
            </w:pPr>
            <w:r w:rsidRPr="00084258">
              <w:rPr>
                <w:rFonts w:ascii="Times New Roman" w:eastAsia="Times New Roman" w:hAnsi="Times New Roman"/>
                <w:b/>
                <w:sz w:val="24"/>
                <w:szCs w:val="24"/>
              </w:rPr>
              <w:t>Обхват на доклада:</w:t>
            </w:r>
          </w:p>
        </w:tc>
        <w:tc>
          <w:tcPr>
            <w:tcW w:w="5919" w:type="dxa"/>
            <w:vAlign w:val="center"/>
          </w:tcPr>
          <w:p w:rsidR="003C18F1" w:rsidRPr="00084258" w:rsidRDefault="003C18F1" w:rsidP="003C18F1">
            <w:pPr>
              <w:spacing w:before="120" w:after="120" w:line="240" w:lineRule="auto"/>
              <w:rPr>
                <w:rFonts w:ascii="Times New Roman" w:eastAsia="Times New Roman" w:hAnsi="Times New Roman"/>
                <w:sz w:val="24"/>
                <w:szCs w:val="24"/>
              </w:rPr>
            </w:pPr>
            <w:r w:rsidRPr="00084258">
              <w:rPr>
                <w:rFonts w:ascii="Times New Roman" w:eastAsia="Times New Roman" w:hAnsi="Times New Roman"/>
                <w:sz w:val="24"/>
                <w:szCs w:val="24"/>
              </w:rPr>
              <w:t xml:space="preserve">Отчитане на резултати по </w:t>
            </w:r>
            <w:r w:rsidRPr="00084258">
              <w:rPr>
                <w:rFonts w:ascii="Times New Roman" w:eastAsia="Times New Roman" w:hAnsi="Times New Roman"/>
                <w:b/>
                <w:sz w:val="24"/>
                <w:szCs w:val="24"/>
              </w:rPr>
              <w:t>Дейност V</w:t>
            </w:r>
            <w:r w:rsidRPr="00084258">
              <w:rPr>
                <w:rFonts w:ascii="Times New Roman" w:eastAsia="Times New Roman" w:hAnsi="Times New Roman"/>
                <w:sz w:val="24"/>
                <w:szCs w:val="24"/>
              </w:rPr>
              <w:t xml:space="preserve"> „Анализ на възможността проектът АЕЦ „Белене“ да бъде реализиран на пазарен принцип и разработване на вариант за отделяне на активите и пасивите на НЕК, свързани с проекта „АЕЦ Белене“, в отделно търговско дружество и провеждане на последваща процедура по реда на Закона за приватизация и следприватизационен контрол”</w:t>
            </w:r>
          </w:p>
        </w:tc>
      </w:tr>
      <w:tr w:rsidR="003C18F1" w:rsidRPr="00084258" w:rsidTr="003C18F1">
        <w:tc>
          <w:tcPr>
            <w:tcW w:w="3261" w:type="dxa"/>
            <w:shd w:val="clear" w:color="auto" w:fill="F2F2F2"/>
            <w:vAlign w:val="center"/>
          </w:tcPr>
          <w:p w:rsidR="003C18F1" w:rsidRPr="00084258" w:rsidRDefault="003C18F1" w:rsidP="003C18F1">
            <w:pPr>
              <w:spacing w:before="120" w:after="120" w:line="240" w:lineRule="auto"/>
              <w:rPr>
                <w:rFonts w:ascii="Times New Roman" w:eastAsia="Times New Roman" w:hAnsi="Times New Roman"/>
                <w:b/>
                <w:sz w:val="24"/>
                <w:szCs w:val="24"/>
              </w:rPr>
            </w:pPr>
            <w:r w:rsidRPr="00084258">
              <w:rPr>
                <w:rFonts w:ascii="Times New Roman" w:eastAsia="Times New Roman" w:hAnsi="Times New Roman"/>
                <w:b/>
                <w:sz w:val="24"/>
                <w:szCs w:val="24"/>
              </w:rPr>
              <w:t>Отчетен период:</w:t>
            </w:r>
          </w:p>
        </w:tc>
        <w:tc>
          <w:tcPr>
            <w:tcW w:w="5919" w:type="dxa"/>
            <w:vAlign w:val="center"/>
          </w:tcPr>
          <w:p w:rsidR="003C18F1" w:rsidRPr="00084258" w:rsidRDefault="003C18F1" w:rsidP="003C18F1">
            <w:pPr>
              <w:spacing w:before="120" w:after="120" w:line="240" w:lineRule="auto"/>
              <w:rPr>
                <w:rFonts w:ascii="Times New Roman" w:eastAsia="Times New Roman" w:hAnsi="Times New Roman"/>
                <w:sz w:val="24"/>
                <w:szCs w:val="24"/>
              </w:rPr>
            </w:pPr>
            <w:r w:rsidRPr="00084258">
              <w:rPr>
                <w:rFonts w:ascii="Times New Roman" w:eastAsia="Times New Roman" w:hAnsi="Times New Roman"/>
                <w:sz w:val="24"/>
                <w:szCs w:val="24"/>
              </w:rPr>
              <w:t xml:space="preserve">16 март – 15 септември 2017 г. </w:t>
            </w:r>
          </w:p>
        </w:tc>
      </w:tr>
    </w:tbl>
    <w:p w:rsidR="003C18F1" w:rsidRPr="00084258" w:rsidRDefault="003C18F1" w:rsidP="003C18F1">
      <w:pPr>
        <w:spacing w:before="120" w:after="120" w:line="240" w:lineRule="auto"/>
        <w:jc w:val="both"/>
        <w:rPr>
          <w:rFonts w:ascii="Times New Roman" w:eastAsia="Times New Roman" w:hAnsi="Times New Roman"/>
          <w:sz w:val="24"/>
          <w:szCs w:val="24"/>
        </w:rPr>
      </w:pPr>
    </w:p>
    <w:p w:rsidR="003C18F1" w:rsidRPr="00084258" w:rsidRDefault="003C18F1" w:rsidP="003C18F1">
      <w:pPr>
        <w:spacing w:before="120" w:after="120" w:line="240" w:lineRule="auto"/>
        <w:jc w:val="both"/>
        <w:rPr>
          <w:rFonts w:ascii="Times New Roman" w:hAnsi="Times New Roman"/>
          <w:sz w:val="24"/>
          <w:szCs w:val="24"/>
          <w:lang w:val="en-US"/>
        </w:rPr>
      </w:pPr>
      <w:r w:rsidRPr="00084258">
        <w:rPr>
          <w:rFonts w:ascii="Times New Roman" w:hAnsi="Times New Roman"/>
          <w:i/>
          <w:sz w:val="24"/>
          <w:szCs w:val="24"/>
        </w:rPr>
        <w:t>Административни събития през отчетния период</w:t>
      </w:r>
    </w:p>
    <w:p w:rsidR="003C18F1" w:rsidRPr="00084258" w:rsidRDefault="003C18F1" w:rsidP="003C18F1">
      <w:pPr>
        <w:spacing w:before="120" w:after="120" w:line="240" w:lineRule="auto"/>
        <w:jc w:val="both"/>
        <w:rPr>
          <w:rFonts w:ascii="Times New Roman" w:hAnsi="Times New Roman"/>
          <w:sz w:val="24"/>
          <w:szCs w:val="24"/>
        </w:rPr>
      </w:pPr>
      <w:r w:rsidRPr="00084258">
        <w:rPr>
          <w:rFonts w:ascii="Times New Roman" w:hAnsi="Times New Roman"/>
          <w:sz w:val="24"/>
          <w:szCs w:val="24"/>
        </w:rPr>
        <w:t>През отчетния период бяха осъществени следните основни административни дейности:</w:t>
      </w:r>
    </w:p>
    <w:p w:rsidR="003C18F1" w:rsidRPr="00084258" w:rsidRDefault="003C18F1" w:rsidP="002A32DA">
      <w:pPr>
        <w:numPr>
          <w:ilvl w:val="0"/>
          <w:numId w:val="34"/>
        </w:numPr>
        <w:spacing w:before="120" w:after="120" w:line="240" w:lineRule="auto"/>
        <w:ind w:left="284" w:hanging="284"/>
        <w:jc w:val="both"/>
        <w:rPr>
          <w:rFonts w:ascii="Times New Roman" w:hAnsi="Times New Roman"/>
          <w:sz w:val="24"/>
          <w:szCs w:val="24"/>
        </w:rPr>
      </w:pPr>
      <w:r w:rsidRPr="00084258">
        <w:rPr>
          <w:rFonts w:ascii="Times New Roman" w:hAnsi="Times New Roman"/>
          <w:sz w:val="24"/>
          <w:szCs w:val="24"/>
        </w:rPr>
        <w:t>На 16.03.2017 г., в съответствие с условията на Договора, бе</w:t>
      </w:r>
      <w:r>
        <w:rPr>
          <w:rFonts w:ascii="Times New Roman" w:hAnsi="Times New Roman"/>
          <w:sz w:val="24"/>
          <w:szCs w:val="24"/>
        </w:rPr>
        <w:t>ше</w:t>
      </w:r>
      <w:r w:rsidRPr="00084258">
        <w:rPr>
          <w:rFonts w:ascii="Times New Roman" w:hAnsi="Times New Roman"/>
          <w:sz w:val="24"/>
          <w:szCs w:val="24"/>
        </w:rPr>
        <w:t xml:space="preserve"> внесен Встъпителен доклад, който бе</w:t>
      </w:r>
      <w:r>
        <w:rPr>
          <w:rFonts w:ascii="Times New Roman" w:hAnsi="Times New Roman"/>
          <w:sz w:val="24"/>
          <w:szCs w:val="24"/>
        </w:rPr>
        <w:t>ше</w:t>
      </w:r>
      <w:r w:rsidRPr="00084258">
        <w:rPr>
          <w:rFonts w:ascii="Times New Roman" w:hAnsi="Times New Roman"/>
          <w:sz w:val="24"/>
          <w:szCs w:val="24"/>
        </w:rPr>
        <w:t xml:space="preserve"> одобрен от Възложителя. </w:t>
      </w:r>
    </w:p>
    <w:p w:rsidR="003C18F1" w:rsidRPr="00084258" w:rsidRDefault="003C18F1" w:rsidP="002A32DA">
      <w:pPr>
        <w:numPr>
          <w:ilvl w:val="0"/>
          <w:numId w:val="34"/>
        </w:numPr>
        <w:spacing w:before="120" w:after="120" w:line="240" w:lineRule="auto"/>
        <w:ind w:left="284" w:hanging="284"/>
        <w:jc w:val="both"/>
        <w:rPr>
          <w:rFonts w:ascii="Times New Roman" w:hAnsi="Times New Roman"/>
          <w:sz w:val="24"/>
          <w:szCs w:val="24"/>
        </w:rPr>
      </w:pPr>
      <w:r w:rsidRPr="00084258">
        <w:rPr>
          <w:rFonts w:ascii="Times New Roman" w:hAnsi="Times New Roman"/>
          <w:sz w:val="24"/>
          <w:szCs w:val="24"/>
        </w:rPr>
        <w:lastRenderedPageBreak/>
        <w:t>На 22.08.2017 г. с Възложителя бе</w:t>
      </w:r>
      <w:r>
        <w:rPr>
          <w:rFonts w:ascii="Times New Roman" w:hAnsi="Times New Roman"/>
          <w:sz w:val="24"/>
          <w:szCs w:val="24"/>
        </w:rPr>
        <w:t>ше</w:t>
      </w:r>
      <w:r w:rsidRPr="00084258">
        <w:rPr>
          <w:rFonts w:ascii="Times New Roman" w:hAnsi="Times New Roman"/>
          <w:sz w:val="24"/>
          <w:szCs w:val="24"/>
        </w:rPr>
        <w:t xml:space="preserve"> проведена работна среща, в която участваха г-н Ж. Станков, зам. министър на енергетиката и г-н П. Иванов, Изпълнителен директор на „БЕХ-ЕАД“. На нея бяха обсъдени: текущият статус на изпълнението на дейностите по Договора; конкретни очаквания на Възложителя по тях; формите на експертно взаимодействие между екипа на Изпълнителя и представителите на Възложителя; административни въпроси, свързани с актуализацията на Договора. </w:t>
      </w:r>
    </w:p>
    <w:p w:rsidR="003C18F1" w:rsidRPr="00084258" w:rsidRDefault="003C18F1" w:rsidP="002A32DA">
      <w:pPr>
        <w:numPr>
          <w:ilvl w:val="0"/>
          <w:numId w:val="34"/>
        </w:numPr>
        <w:spacing w:before="120" w:after="120" w:line="240" w:lineRule="auto"/>
        <w:ind w:left="284" w:hanging="284"/>
        <w:jc w:val="both"/>
        <w:rPr>
          <w:rFonts w:ascii="Times New Roman" w:eastAsia="Times New Roman" w:hAnsi="Times New Roman"/>
          <w:sz w:val="24"/>
          <w:szCs w:val="24"/>
        </w:rPr>
      </w:pPr>
      <w:r w:rsidRPr="00084258">
        <w:rPr>
          <w:rFonts w:ascii="Times New Roman" w:hAnsi="Times New Roman"/>
          <w:sz w:val="24"/>
          <w:szCs w:val="24"/>
        </w:rPr>
        <w:t xml:space="preserve">През август </w:t>
      </w:r>
      <w:r>
        <w:rPr>
          <w:rFonts w:ascii="Times New Roman" w:hAnsi="Times New Roman"/>
          <w:sz w:val="24"/>
          <w:szCs w:val="24"/>
        </w:rPr>
        <w:t>2017 г.</w:t>
      </w:r>
      <w:r w:rsidRPr="00084258">
        <w:rPr>
          <w:rFonts w:ascii="Times New Roman" w:hAnsi="Times New Roman"/>
          <w:sz w:val="24"/>
          <w:szCs w:val="24"/>
        </w:rPr>
        <w:t xml:space="preserve"> се проведоха няколко работни срещи между експерти на Възложителя и експерти на Изпълнителя, разработващи материалите по Дейност </w:t>
      </w:r>
      <w:r w:rsidRPr="00084258">
        <w:rPr>
          <w:rFonts w:ascii="Times New Roman" w:hAnsi="Times New Roman"/>
          <w:sz w:val="24"/>
          <w:szCs w:val="24"/>
          <w:lang w:val="en-US"/>
        </w:rPr>
        <w:t>V</w:t>
      </w:r>
      <w:r w:rsidRPr="00084258">
        <w:rPr>
          <w:rFonts w:ascii="Times New Roman" w:hAnsi="Times New Roman"/>
          <w:sz w:val="24"/>
          <w:szCs w:val="24"/>
        </w:rPr>
        <w:t xml:space="preserve"> </w:t>
      </w:r>
      <w:r w:rsidRPr="00084258">
        <w:rPr>
          <w:rFonts w:ascii="Times New Roman" w:eastAsia="Times New Roman" w:hAnsi="Times New Roman"/>
          <w:sz w:val="24"/>
          <w:szCs w:val="24"/>
        </w:rPr>
        <w:t xml:space="preserve">„Анализ на възможността проектът АЕЦ „Белене“ да бъде реализиран на пазарен принцип и разработване на вариант за отделяне на активите и пасивите на НЕК, свързани с проекта „АЕЦ Белене“, в отделно търговско дружество и провеждане на последваща процедура по реда на Закона за приватизация и следприватизационен контрол”. Във фокуса на срещите бяха работни материали по дейността, вкл. параметрите на финансовия модел на проекта АЕЦ „Белене“, и тяхното уточняване. </w:t>
      </w:r>
    </w:p>
    <w:p w:rsidR="003C18F1" w:rsidRPr="00084258" w:rsidRDefault="003C18F1" w:rsidP="002A32DA">
      <w:pPr>
        <w:numPr>
          <w:ilvl w:val="0"/>
          <w:numId w:val="34"/>
        </w:numPr>
        <w:spacing w:before="120" w:after="120" w:line="240" w:lineRule="auto"/>
        <w:ind w:left="284" w:hanging="284"/>
        <w:jc w:val="both"/>
        <w:rPr>
          <w:rFonts w:ascii="Times New Roman" w:eastAsia="Times New Roman" w:hAnsi="Times New Roman"/>
          <w:sz w:val="24"/>
          <w:szCs w:val="24"/>
        </w:rPr>
      </w:pPr>
      <w:r w:rsidRPr="00084258">
        <w:rPr>
          <w:rFonts w:ascii="Times New Roman" w:eastAsia="Times New Roman" w:hAnsi="Times New Roman"/>
          <w:sz w:val="24"/>
          <w:szCs w:val="24"/>
        </w:rPr>
        <w:t>На 5 септември 2017 г. бе</w:t>
      </w:r>
      <w:r>
        <w:rPr>
          <w:rFonts w:ascii="Times New Roman" w:eastAsia="Times New Roman" w:hAnsi="Times New Roman"/>
          <w:sz w:val="24"/>
          <w:szCs w:val="24"/>
        </w:rPr>
        <w:t>ше</w:t>
      </w:r>
      <w:r w:rsidRPr="00084258">
        <w:rPr>
          <w:rFonts w:ascii="Times New Roman" w:eastAsia="Times New Roman" w:hAnsi="Times New Roman"/>
          <w:sz w:val="24"/>
          <w:szCs w:val="24"/>
        </w:rPr>
        <w:t xml:space="preserve"> проведена работна среща, на която от наша страна</w:t>
      </w:r>
      <w:r w:rsidRPr="007A183D">
        <w:rPr>
          <w:rFonts w:ascii="Times New Roman" w:eastAsia="Times New Roman" w:hAnsi="Times New Roman"/>
          <w:sz w:val="24"/>
          <w:szCs w:val="24"/>
        </w:rPr>
        <w:t xml:space="preserve"> </w:t>
      </w:r>
      <w:r w:rsidRPr="00084258">
        <w:rPr>
          <w:rFonts w:ascii="Times New Roman" w:eastAsia="Times New Roman" w:hAnsi="Times New Roman"/>
          <w:sz w:val="24"/>
          <w:szCs w:val="24"/>
        </w:rPr>
        <w:t xml:space="preserve">бяха: (а) представени направените по искане на Възложителя корекции във финансовия модел на проекта АЕЦ „Белене“; (б) представени и обсъдени резултатите от Дейност </w:t>
      </w:r>
      <w:r w:rsidRPr="00084258">
        <w:rPr>
          <w:rFonts w:ascii="Times New Roman" w:eastAsia="Times New Roman" w:hAnsi="Times New Roman"/>
          <w:sz w:val="24"/>
          <w:szCs w:val="24"/>
          <w:lang w:val="en-US"/>
        </w:rPr>
        <w:t xml:space="preserve">III. </w:t>
      </w:r>
    </w:p>
    <w:p w:rsidR="003C18F1" w:rsidRPr="00084258" w:rsidRDefault="003C18F1" w:rsidP="003C18F1">
      <w:pPr>
        <w:spacing w:before="120" w:after="120" w:line="240" w:lineRule="auto"/>
        <w:jc w:val="both"/>
        <w:rPr>
          <w:rFonts w:ascii="Times New Roman" w:eastAsia="Times New Roman" w:hAnsi="Times New Roman"/>
          <w:sz w:val="24"/>
          <w:szCs w:val="24"/>
        </w:rPr>
      </w:pPr>
      <w:r w:rsidRPr="00084258">
        <w:rPr>
          <w:rFonts w:ascii="Times New Roman" w:eastAsia="Times New Roman" w:hAnsi="Times New Roman"/>
          <w:sz w:val="24"/>
          <w:szCs w:val="24"/>
        </w:rPr>
        <w:t>Резултатите от работните срещи, съгласно постигнатите договорки</w:t>
      </w:r>
      <w:r>
        <w:rPr>
          <w:rFonts w:ascii="Times New Roman" w:eastAsia="Times New Roman" w:hAnsi="Times New Roman"/>
          <w:sz w:val="24"/>
          <w:szCs w:val="24"/>
        </w:rPr>
        <w:t>,</w:t>
      </w:r>
      <w:r w:rsidRPr="00084258">
        <w:rPr>
          <w:rFonts w:ascii="Times New Roman" w:eastAsia="Times New Roman" w:hAnsi="Times New Roman"/>
          <w:sz w:val="24"/>
          <w:szCs w:val="24"/>
        </w:rPr>
        <w:t xml:space="preserve"> се взеха предвид и са отчетени от Изпълнителя при подготовката на всички материали. </w:t>
      </w:r>
    </w:p>
    <w:p w:rsidR="003C18F1" w:rsidRPr="00084258" w:rsidRDefault="003C18F1" w:rsidP="003C18F1">
      <w:pPr>
        <w:spacing w:before="120" w:after="120" w:line="240" w:lineRule="auto"/>
        <w:jc w:val="both"/>
        <w:rPr>
          <w:rFonts w:ascii="Times New Roman" w:eastAsia="Times New Roman" w:hAnsi="Times New Roman"/>
          <w:sz w:val="24"/>
          <w:szCs w:val="24"/>
        </w:rPr>
      </w:pPr>
      <w:r w:rsidRPr="00084258">
        <w:rPr>
          <w:rFonts w:ascii="Times New Roman" w:eastAsia="Times New Roman" w:hAnsi="Times New Roman"/>
          <w:sz w:val="24"/>
          <w:szCs w:val="24"/>
        </w:rPr>
        <w:t>Освен това, бяха проведени две срещи с Министъра на енергетиката, г-жа Теменужка Петкова:</w:t>
      </w:r>
    </w:p>
    <w:p w:rsidR="003C18F1" w:rsidRPr="00084258" w:rsidRDefault="003C18F1" w:rsidP="002A32DA">
      <w:pPr>
        <w:numPr>
          <w:ilvl w:val="0"/>
          <w:numId w:val="35"/>
        </w:numPr>
        <w:spacing w:before="120" w:after="120" w:line="240" w:lineRule="auto"/>
        <w:ind w:left="284" w:hanging="284"/>
        <w:jc w:val="both"/>
        <w:rPr>
          <w:rFonts w:ascii="Times New Roman" w:eastAsia="Times New Roman" w:hAnsi="Times New Roman"/>
          <w:sz w:val="24"/>
          <w:szCs w:val="24"/>
        </w:rPr>
      </w:pPr>
      <w:r w:rsidRPr="00084258">
        <w:rPr>
          <w:rFonts w:ascii="Times New Roman" w:eastAsia="Times New Roman" w:hAnsi="Times New Roman"/>
          <w:sz w:val="24"/>
          <w:szCs w:val="24"/>
        </w:rPr>
        <w:t>В първата среща, осъществена на 22.06.2017 г., от страна на Изпълнителя участваха акад. Ю. Ревалски – Председател на БАН и проф. д-р Александър Тасев, директор на Института за икономически изследвания на БАН и Координатор на проекта от страна на Изпълнителя. Министър Петкова бе</w:t>
      </w:r>
      <w:r>
        <w:rPr>
          <w:rFonts w:ascii="Times New Roman" w:eastAsia="Times New Roman" w:hAnsi="Times New Roman"/>
          <w:sz w:val="24"/>
          <w:szCs w:val="24"/>
        </w:rPr>
        <w:t>ше</w:t>
      </w:r>
      <w:r w:rsidRPr="00084258">
        <w:rPr>
          <w:rFonts w:ascii="Times New Roman" w:eastAsia="Times New Roman" w:hAnsi="Times New Roman"/>
          <w:sz w:val="24"/>
          <w:szCs w:val="24"/>
        </w:rPr>
        <w:t xml:space="preserve"> информирана за прогреса </w:t>
      </w:r>
      <w:r>
        <w:rPr>
          <w:rFonts w:ascii="Times New Roman" w:eastAsia="Times New Roman" w:hAnsi="Times New Roman"/>
          <w:sz w:val="24"/>
          <w:szCs w:val="24"/>
        </w:rPr>
        <w:t>по</w:t>
      </w:r>
      <w:r w:rsidRPr="00084258">
        <w:rPr>
          <w:rFonts w:ascii="Times New Roman" w:eastAsia="Times New Roman" w:hAnsi="Times New Roman"/>
          <w:sz w:val="24"/>
          <w:szCs w:val="24"/>
        </w:rPr>
        <w:t xml:space="preserve"> изпълнението на Договора. Тя постави изискване резултатите от Междинен доклад 2 да се изтеглят от 30 октомври 2017 на 15 септември 2017 г. Това изискване доведе до изготвяне и подписване на допълнителен Анекс, в който се отразиха промените в датите за предаване на резултатите. </w:t>
      </w:r>
    </w:p>
    <w:p w:rsidR="003C18F1" w:rsidRPr="00084258" w:rsidRDefault="003C18F1" w:rsidP="002A32DA">
      <w:pPr>
        <w:numPr>
          <w:ilvl w:val="0"/>
          <w:numId w:val="35"/>
        </w:numPr>
        <w:spacing w:before="120" w:after="120" w:line="240" w:lineRule="auto"/>
        <w:ind w:left="284" w:hanging="284"/>
        <w:jc w:val="both"/>
        <w:rPr>
          <w:rFonts w:ascii="Times New Roman" w:eastAsia="Times New Roman" w:hAnsi="Times New Roman"/>
          <w:sz w:val="24"/>
          <w:szCs w:val="24"/>
        </w:rPr>
      </w:pPr>
      <w:r w:rsidRPr="00084258">
        <w:rPr>
          <w:rFonts w:ascii="Times New Roman" w:eastAsia="Times New Roman" w:hAnsi="Times New Roman"/>
          <w:sz w:val="24"/>
          <w:szCs w:val="24"/>
        </w:rPr>
        <w:t>Във втората среща, осъществена на 10.08.2017 г.</w:t>
      </w:r>
      <w:r>
        <w:rPr>
          <w:rFonts w:ascii="Times New Roman" w:eastAsia="Times New Roman" w:hAnsi="Times New Roman"/>
          <w:sz w:val="24"/>
          <w:szCs w:val="24"/>
        </w:rPr>
        <w:t>,</w:t>
      </w:r>
      <w:r w:rsidRPr="00084258">
        <w:rPr>
          <w:rFonts w:ascii="Times New Roman" w:eastAsia="Times New Roman" w:hAnsi="Times New Roman"/>
          <w:sz w:val="24"/>
          <w:szCs w:val="24"/>
        </w:rPr>
        <w:t xml:space="preserve"> участваха проф. Ал. Тасев и водещи експерти от екипа на Изпълнителя. На срещата бяха обсъдени някои предварителни резултати от Дейност </w:t>
      </w:r>
      <w:r w:rsidRPr="00084258">
        <w:rPr>
          <w:rFonts w:ascii="Times New Roman" w:eastAsia="Times New Roman" w:hAnsi="Times New Roman"/>
          <w:sz w:val="24"/>
          <w:szCs w:val="24"/>
          <w:lang w:val="en-US"/>
        </w:rPr>
        <w:t xml:space="preserve">II </w:t>
      </w:r>
      <w:r w:rsidRPr="00084258">
        <w:rPr>
          <w:rFonts w:ascii="Times New Roman" w:eastAsia="Times New Roman" w:hAnsi="Times New Roman"/>
          <w:sz w:val="24"/>
          <w:szCs w:val="24"/>
        </w:rPr>
        <w:t xml:space="preserve">и Дейност </w:t>
      </w:r>
      <w:r w:rsidRPr="00084258">
        <w:rPr>
          <w:rFonts w:ascii="Times New Roman" w:eastAsia="Times New Roman" w:hAnsi="Times New Roman"/>
          <w:sz w:val="24"/>
          <w:szCs w:val="24"/>
          <w:lang w:val="en-US"/>
        </w:rPr>
        <w:t>V</w:t>
      </w:r>
      <w:r w:rsidRPr="00084258">
        <w:rPr>
          <w:rFonts w:ascii="Times New Roman" w:eastAsia="Times New Roman" w:hAnsi="Times New Roman"/>
          <w:sz w:val="24"/>
          <w:szCs w:val="24"/>
        </w:rPr>
        <w:t xml:space="preserve">.  </w:t>
      </w:r>
    </w:p>
    <w:p w:rsidR="003C18F1" w:rsidRPr="00084258" w:rsidRDefault="003C18F1" w:rsidP="003C18F1">
      <w:pPr>
        <w:spacing w:before="120" w:after="120" w:line="240" w:lineRule="auto"/>
        <w:jc w:val="both"/>
        <w:rPr>
          <w:rFonts w:ascii="Times New Roman" w:eastAsia="Times New Roman" w:hAnsi="Times New Roman"/>
          <w:sz w:val="24"/>
          <w:szCs w:val="24"/>
        </w:rPr>
      </w:pPr>
      <w:r w:rsidRPr="00084258">
        <w:rPr>
          <w:rFonts w:ascii="Times New Roman" w:hAnsi="Times New Roman"/>
          <w:sz w:val="24"/>
          <w:szCs w:val="24"/>
        </w:rPr>
        <w:t>Настоящият Междинен доклад 2 е изготвен в съответствие с Техническото задание, оформено като Приложение 1.2 на Анекс №2 на Договора. Графикът за предаване на резултатите и извършване на плащанията предвижда този междинен доклад да се предостави на Възложителя на 15.09.</w:t>
      </w:r>
      <w:r w:rsidRPr="00084258">
        <w:rPr>
          <w:rFonts w:ascii="Times New Roman" w:eastAsia="Times New Roman" w:hAnsi="Times New Roman"/>
          <w:sz w:val="24"/>
          <w:szCs w:val="24"/>
        </w:rPr>
        <w:t xml:space="preserve">2017 г. </w:t>
      </w:r>
    </w:p>
    <w:p w:rsidR="003C18F1" w:rsidRPr="00084258" w:rsidRDefault="003C18F1" w:rsidP="003C18F1">
      <w:pPr>
        <w:spacing w:before="120" w:after="120" w:line="240" w:lineRule="auto"/>
        <w:jc w:val="both"/>
        <w:rPr>
          <w:rFonts w:ascii="Times New Roman" w:eastAsia="Times New Roman" w:hAnsi="Times New Roman"/>
          <w:sz w:val="24"/>
          <w:szCs w:val="24"/>
        </w:rPr>
      </w:pPr>
      <w:r w:rsidRPr="00084258">
        <w:rPr>
          <w:rFonts w:ascii="Times New Roman" w:eastAsia="Times New Roman" w:hAnsi="Times New Roman"/>
          <w:sz w:val="24"/>
          <w:szCs w:val="24"/>
        </w:rPr>
        <w:t xml:space="preserve">Докладът представя резултатите от Дейност V „Анализ на възможността проектът АЕЦ „Белене“ да бъде реализиран на пазарен принцип и разработване на вариант за отделяне на активите и пасивите на НЕК, свързани с проекта „АЕЦ Белене“, в отделно търговско дружество и провеждане на последваща процедура по реда на Закона за приватизация и следприватизационен контрол”. </w:t>
      </w:r>
    </w:p>
    <w:p w:rsidR="003C18F1" w:rsidRPr="00084258" w:rsidRDefault="003C18F1" w:rsidP="003C18F1">
      <w:pPr>
        <w:spacing w:before="120" w:after="120" w:line="240" w:lineRule="auto"/>
        <w:jc w:val="both"/>
        <w:rPr>
          <w:rFonts w:ascii="Times New Roman" w:eastAsia="Times New Roman" w:hAnsi="Times New Roman"/>
          <w:sz w:val="24"/>
          <w:szCs w:val="24"/>
        </w:rPr>
      </w:pPr>
      <w:r w:rsidRPr="00084258">
        <w:rPr>
          <w:rFonts w:ascii="Times New Roman" w:eastAsia="Times New Roman" w:hAnsi="Times New Roman"/>
          <w:sz w:val="24"/>
          <w:szCs w:val="24"/>
        </w:rPr>
        <w:t>Тези резултати съответстват изцяло на предвидените в Договора и във Встъпителния доклад и включват:</w:t>
      </w:r>
    </w:p>
    <w:p w:rsidR="003C18F1" w:rsidRPr="00084258" w:rsidRDefault="003C18F1" w:rsidP="002A32DA">
      <w:pPr>
        <w:pStyle w:val="ListBullet"/>
        <w:numPr>
          <w:ilvl w:val="0"/>
          <w:numId w:val="33"/>
        </w:numPr>
        <w:tabs>
          <w:tab w:val="clear" w:pos="425"/>
        </w:tabs>
        <w:spacing w:before="120" w:after="120" w:line="240" w:lineRule="auto"/>
        <w:ind w:left="284" w:hanging="284"/>
        <w:jc w:val="both"/>
        <w:rPr>
          <w:sz w:val="24"/>
          <w:szCs w:val="24"/>
          <w:lang w:val="bg-BG"/>
        </w:rPr>
      </w:pPr>
      <w:r>
        <w:rPr>
          <w:bCs/>
          <w:sz w:val="24"/>
          <w:szCs w:val="24"/>
          <w:lang w:val="bg-BG"/>
        </w:rPr>
        <w:lastRenderedPageBreak/>
        <w:t>т</w:t>
      </w:r>
      <w:r w:rsidRPr="00084258">
        <w:rPr>
          <w:bCs/>
          <w:sz w:val="24"/>
          <w:szCs w:val="24"/>
          <w:lang w:val="bg-BG"/>
        </w:rPr>
        <w:t>ехнико-икономически и правен анализ на възможностите за използване на придобитото оборудване за изграждане на атомна електроцентрала на площадка „Белене“ на</w:t>
      </w:r>
      <w:r>
        <w:rPr>
          <w:bCs/>
          <w:sz w:val="24"/>
          <w:szCs w:val="24"/>
          <w:lang w:val="bg-BG"/>
        </w:rPr>
        <w:t xml:space="preserve"> пазарен принцип;</w:t>
      </w:r>
    </w:p>
    <w:p w:rsidR="003C18F1" w:rsidRPr="00084258" w:rsidRDefault="003C18F1" w:rsidP="002A32DA">
      <w:pPr>
        <w:pStyle w:val="ListBullet"/>
        <w:numPr>
          <w:ilvl w:val="0"/>
          <w:numId w:val="33"/>
        </w:numPr>
        <w:tabs>
          <w:tab w:val="clear" w:pos="425"/>
        </w:tabs>
        <w:spacing w:before="120" w:after="120" w:line="240" w:lineRule="auto"/>
        <w:ind w:left="284" w:hanging="284"/>
        <w:jc w:val="both"/>
        <w:rPr>
          <w:sz w:val="24"/>
          <w:szCs w:val="24"/>
          <w:lang w:val="bg-BG"/>
        </w:rPr>
      </w:pPr>
      <w:r>
        <w:rPr>
          <w:bCs/>
          <w:sz w:val="24"/>
          <w:szCs w:val="24"/>
          <w:lang w:val="bg-BG"/>
        </w:rPr>
        <w:t>в</w:t>
      </w:r>
      <w:r w:rsidRPr="00084258">
        <w:rPr>
          <w:bCs/>
          <w:sz w:val="24"/>
          <w:szCs w:val="24"/>
          <w:lang w:val="bg-BG"/>
        </w:rPr>
        <w:t>ариант за отделяне на активите и пасивите на НЕК, свързани с Проекта „АЕЦ Белене“</w:t>
      </w:r>
      <w:r>
        <w:rPr>
          <w:bCs/>
          <w:sz w:val="24"/>
          <w:szCs w:val="24"/>
          <w:lang w:val="bg-BG"/>
        </w:rPr>
        <w:t>, в отделно търговско дружество;</w:t>
      </w:r>
    </w:p>
    <w:p w:rsidR="003C18F1" w:rsidRPr="00084258" w:rsidRDefault="003C18F1" w:rsidP="002A32DA">
      <w:pPr>
        <w:pStyle w:val="ListBullet"/>
        <w:numPr>
          <w:ilvl w:val="0"/>
          <w:numId w:val="33"/>
        </w:numPr>
        <w:tabs>
          <w:tab w:val="clear" w:pos="425"/>
        </w:tabs>
        <w:spacing w:before="120" w:after="120" w:line="240" w:lineRule="auto"/>
        <w:ind w:left="284" w:hanging="284"/>
        <w:jc w:val="both"/>
        <w:rPr>
          <w:bCs/>
          <w:sz w:val="24"/>
          <w:szCs w:val="24"/>
          <w:lang w:val="bg-BG"/>
        </w:rPr>
      </w:pPr>
      <w:r>
        <w:rPr>
          <w:bCs/>
          <w:sz w:val="24"/>
          <w:szCs w:val="24"/>
          <w:lang w:val="bg-BG"/>
        </w:rPr>
        <w:t>ф</w:t>
      </w:r>
      <w:r w:rsidRPr="00084258">
        <w:rPr>
          <w:bCs/>
          <w:sz w:val="24"/>
          <w:szCs w:val="24"/>
          <w:lang w:val="bg-BG"/>
        </w:rPr>
        <w:t xml:space="preserve">инансов модел на проекта АЕЦ „Белене“ – на </w:t>
      </w:r>
      <w:r w:rsidRPr="00084258">
        <w:rPr>
          <w:bCs/>
          <w:sz w:val="24"/>
          <w:szCs w:val="24"/>
          <w:lang w:val="en-US"/>
        </w:rPr>
        <w:t>Excel</w:t>
      </w:r>
      <w:r w:rsidRPr="00084258">
        <w:rPr>
          <w:bCs/>
          <w:sz w:val="24"/>
          <w:szCs w:val="24"/>
          <w:lang w:val="bg-BG"/>
        </w:rPr>
        <w:t>.</w:t>
      </w:r>
    </w:p>
    <w:p w:rsidR="003C18F1" w:rsidRPr="00084258" w:rsidRDefault="003C18F1" w:rsidP="003C18F1">
      <w:pPr>
        <w:spacing w:before="120" w:after="120" w:line="240" w:lineRule="auto"/>
        <w:jc w:val="both"/>
        <w:rPr>
          <w:rFonts w:ascii="Times New Roman" w:hAnsi="Times New Roman"/>
          <w:sz w:val="24"/>
          <w:szCs w:val="24"/>
        </w:rPr>
      </w:pPr>
      <w:r w:rsidRPr="00084258">
        <w:rPr>
          <w:rFonts w:ascii="Times New Roman" w:eastAsia="Times New Roman" w:hAnsi="Times New Roman"/>
          <w:sz w:val="24"/>
          <w:szCs w:val="24"/>
        </w:rPr>
        <w:t xml:space="preserve">Междинен доклад 2 се предоставя на Възложителя заедно с Междинен доклад 1 (предварителен) и Междинен доклад 3 (предварителен), като се базира на резултати, получени от изпълнението на </w:t>
      </w:r>
      <w:r w:rsidRPr="007A183D">
        <w:rPr>
          <w:rFonts w:ascii="Times New Roman" w:eastAsia="Times New Roman" w:hAnsi="Times New Roman"/>
          <w:caps/>
          <w:sz w:val="24"/>
          <w:szCs w:val="24"/>
        </w:rPr>
        <w:t>д</w:t>
      </w:r>
      <w:r w:rsidRPr="00084258">
        <w:rPr>
          <w:rFonts w:ascii="Times New Roman" w:eastAsia="Times New Roman" w:hAnsi="Times New Roman"/>
          <w:sz w:val="24"/>
          <w:szCs w:val="24"/>
        </w:rPr>
        <w:t>ейностите, включени в техния обхват. По такъв начин даваме на Възложителя пълна картина на извършената работа до момента и на резултатите, постигнати в изпълнение на Договора и на одобрения Встъпителен доклад.</w:t>
      </w:r>
    </w:p>
    <w:p w:rsidR="003C18F1" w:rsidRPr="00084258" w:rsidRDefault="003C18F1" w:rsidP="003C18F1">
      <w:pPr>
        <w:spacing w:before="120" w:after="120" w:line="240" w:lineRule="auto"/>
        <w:jc w:val="both"/>
        <w:rPr>
          <w:rFonts w:ascii="Times New Roman" w:eastAsia="Times New Roman" w:hAnsi="Times New Roman"/>
          <w:i/>
          <w:sz w:val="24"/>
          <w:szCs w:val="24"/>
        </w:rPr>
      </w:pPr>
      <w:r w:rsidRPr="00084258">
        <w:rPr>
          <w:rFonts w:ascii="Times New Roman" w:eastAsia="Times New Roman" w:hAnsi="Times New Roman"/>
          <w:i/>
          <w:sz w:val="24"/>
          <w:szCs w:val="24"/>
        </w:rPr>
        <w:t>Междинните доклади са предназначени да бъд</w:t>
      </w:r>
      <w:r>
        <w:rPr>
          <w:rFonts w:ascii="Times New Roman" w:eastAsia="Times New Roman" w:hAnsi="Times New Roman"/>
          <w:i/>
          <w:sz w:val="24"/>
          <w:szCs w:val="24"/>
        </w:rPr>
        <w:t>ат</w:t>
      </w:r>
      <w:r w:rsidRPr="00084258">
        <w:rPr>
          <w:rFonts w:ascii="Times New Roman" w:eastAsia="Times New Roman" w:hAnsi="Times New Roman"/>
          <w:i/>
          <w:sz w:val="24"/>
          <w:szCs w:val="24"/>
        </w:rPr>
        <w:t xml:space="preserve"> четени и използвани в цялост, а не частично и поотделно. Отделянето и/или изменението на който и да е раздел или страница от докладите ги прави невалидни по отношение на изводите и оценките. Тези изводи и оценки са валидни само по отношение </w:t>
      </w:r>
      <w:r>
        <w:rPr>
          <w:rFonts w:ascii="Times New Roman" w:eastAsia="Times New Roman" w:hAnsi="Times New Roman"/>
          <w:i/>
          <w:sz w:val="24"/>
          <w:szCs w:val="24"/>
        </w:rPr>
        <w:t xml:space="preserve">на допусканията, </w:t>
      </w:r>
      <w:r w:rsidRPr="00084258">
        <w:rPr>
          <w:rFonts w:ascii="Times New Roman" w:eastAsia="Times New Roman" w:hAnsi="Times New Roman"/>
          <w:i/>
          <w:sz w:val="24"/>
          <w:szCs w:val="24"/>
        </w:rPr>
        <w:t xml:space="preserve">обхвата и целите на докладите към датата на отчитането им. </w:t>
      </w:r>
    </w:p>
    <w:p w:rsidR="003C18F1" w:rsidRPr="00084258" w:rsidRDefault="003C18F1" w:rsidP="003C18F1">
      <w:pPr>
        <w:spacing w:before="120" w:after="120" w:line="240" w:lineRule="auto"/>
        <w:jc w:val="both"/>
        <w:rPr>
          <w:rFonts w:ascii="Times New Roman" w:eastAsia="Times New Roman" w:hAnsi="Times New Roman"/>
          <w:sz w:val="24"/>
          <w:szCs w:val="24"/>
        </w:rPr>
      </w:pPr>
      <w:r w:rsidRPr="00084258">
        <w:rPr>
          <w:rFonts w:ascii="Times New Roman" w:eastAsia="Times New Roman" w:hAnsi="Times New Roman"/>
          <w:sz w:val="24"/>
          <w:szCs w:val="24"/>
        </w:rPr>
        <w:t>Предоставяме</w:t>
      </w:r>
      <w:r>
        <w:rPr>
          <w:rFonts w:ascii="Times New Roman" w:eastAsia="Times New Roman" w:hAnsi="Times New Roman"/>
          <w:sz w:val="24"/>
          <w:szCs w:val="24"/>
        </w:rPr>
        <w:t>,</w:t>
      </w:r>
      <w:r w:rsidRPr="00084258">
        <w:rPr>
          <w:rFonts w:ascii="Times New Roman" w:eastAsia="Times New Roman" w:hAnsi="Times New Roman"/>
          <w:sz w:val="24"/>
          <w:szCs w:val="24"/>
        </w:rPr>
        <w:t xml:space="preserve"> извън изискванията по Договора, и кратко представяне на постигнатите основни резултати/изводи, свързани с </w:t>
      </w:r>
      <w:r w:rsidRPr="00D13EC7">
        <w:rPr>
          <w:rFonts w:ascii="Times New Roman" w:eastAsia="Times New Roman" w:hAnsi="Times New Roman"/>
          <w:caps/>
          <w:sz w:val="24"/>
          <w:szCs w:val="24"/>
        </w:rPr>
        <w:t>м</w:t>
      </w:r>
      <w:r w:rsidRPr="00084258">
        <w:rPr>
          <w:rFonts w:ascii="Times New Roman" w:eastAsia="Times New Roman" w:hAnsi="Times New Roman"/>
          <w:sz w:val="24"/>
          <w:szCs w:val="24"/>
        </w:rPr>
        <w:t xml:space="preserve">еждинните доклади. </w:t>
      </w:r>
    </w:p>
    <w:p w:rsidR="003C18F1" w:rsidRDefault="003C18F1" w:rsidP="003C18F1">
      <w:pPr>
        <w:rPr>
          <w:rFonts w:ascii="Times New Roman" w:eastAsia="Times New Roman" w:hAnsi="Times New Roman" w:cs="Times New Roman"/>
          <w:b/>
          <w:sz w:val="24"/>
          <w:szCs w:val="24"/>
        </w:rPr>
      </w:pPr>
      <w:r w:rsidRPr="00084258">
        <w:rPr>
          <w:rFonts w:ascii="Times New Roman" w:eastAsia="Times New Roman" w:hAnsi="Times New Roman"/>
          <w:sz w:val="24"/>
          <w:szCs w:val="24"/>
        </w:rPr>
        <w:t>Всичко това определя структурата и съдържанието на доклада.</w:t>
      </w:r>
      <w:r>
        <w:rPr>
          <w:rFonts w:ascii="Times New Roman" w:eastAsia="Times New Roman" w:hAnsi="Times New Roman" w:cs="Times New Roman"/>
          <w:b/>
          <w:sz w:val="24"/>
          <w:szCs w:val="24"/>
        </w:rPr>
        <w:br w:type="page"/>
      </w:r>
    </w:p>
    <w:p w:rsidR="003C18F1" w:rsidRPr="003C18F1" w:rsidRDefault="003C18F1" w:rsidP="00E44C19">
      <w:pPr>
        <w:spacing w:before="120" w:after="120" w:line="240" w:lineRule="auto"/>
        <w:rPr>
          <w:rFonts w:ascii="Times New Roman" w:eastAsia="Times New Roman" w:hAnsi="Times New Roman" w:cs="Times New Roman"/>
          <w:b/>
          <w:smallCaps/>
          <w:sz w:val="28"/>
          <w:szCs w:val="24"/>
        </w:rPr>
      </w:pPr>
      <w:r w:rsidRPr="003C18F1">
        <w:rPr>
          <w:rFonts w:ascii="Times New Roman" w:hAnsi="Times New Roman" w:cs="Times New Roman"/>
          <w:b/>
          <w:smallCaps/>
          <w:sz w:val="28"/>
          <w:szCs w:val="24"/>
        </w:rPr>
        <w:lastRenderedPageBreak/>
        <w:t>Дейност V. „Анализ на възможността проектът АЕЦ „Белене“ да бъде реализиран на пазарен принцип и разработване на вариант за отделяне на активите и пасивите на НЕК, свързани с проекта „АЕЦ „Белене“, в отделно търговско дружество и провеждане на последваща процедура по реда на Закона за приватизация и следприватизационен контрол”</w:t>
      </w:r>
    </w:p>
    <w:p w:rsidR="003C18F1" w:rsidRDefault="003C18F1" w:rsidP="00E44C19">
      <w:pPr>
        <w:spacing w:before="120" w:after="120" w:line="240" w:lineRule="auto"/>
        <w:rPr>
          <w:rFonts w:ascii="Times New Roman" w:eastAsia="Times New Roman" w:hAnsi="Times New Roman" w:cs="Times New Roman"/>
          <w:b/>
          <w:sz w:val="24"/>
          <w:szCs w:val="24"/>
        </w:rPr>
      </w:pP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Настоящият доклад е изработен в изпълнение на Дейност V. „Анализ на възможността проектът АЕЦ „Белене“ да бъде реализиран на пазарен принцип и разработване на вариант за отделяне на активите и пасивите на НЕК, свързани с проекта „АЕЦ „Белене“, в отделно търговско дружество и провеждане на последваща процедура по реда на Закона за приватизация и следприватизационен контрол”</w:t>
      </w:r>
      <w:r>
        <w:rPr>
          <w:rFonts w:ascii="Times New Roman" w:hAnsi="Times New Roman" w:cs="Times New Roman"/>
          <w:sz w:val="24"/>
          <w:szCs w:val="24"/>
        </w:rPr>
        <w:t>,</w:t>
      </w:r>
      <w:r w:rsidRPr="00950BDF">
        <w:rPr>
          <w:rFonts w:ascii="Times New Roman" w:hAnsi="Times New Roman" w:cs="Times New Roman"/>
          <w:sz w:val="24"/>
          <w:szCs w:val="24"/>
        </w:rPr>
        <w:t xml:space="preserve"> по договор с предмет „Изготвяне на Национална стратегия в областта на енергетиката (с фокус върху електроенергетиката)” между „БЕХ“ ЕАД и БАН.</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Съгласно</w:t>
      </w:r>
      <w:r>
        <w:rPr>
          <w:rFonts w:ascii="Times New Roman" w:hAnsi="Times New Roman" w:cs="Times New Roman"/>
          <w:sz w:val="24"/>
          <w:szCs w:val="24"/>
        </w:rPr>
        <w:t xml:space="preserve"> заданието на проекта Дейност V</w:t>
      </w:r>
      <w:r w:rsidRPr="00950BDF">
        <w:rPr>
          <w:rFonts w:ascii="Times New Roman" w:hAnsi="Times New Roman" w:cs="Times New Roman"/>
          <w:sz w:val="24"/>
          <w:szCs w:val="24"/>
        </w:rPr>
        <w:t xml:space="preserve"> обхваща изпълнението на следните поддейности: </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Поддейност V.1. Технико-икономически и правен анализ на възможностите за използване на придобитото оборудване с дълъг цикъл на производство за изграждане на атомна електроцентрала на площадка „Белене“ на пазарен принцип (без пряко или косвено участие на държавата, без държавна гаранция и без ангажимент от страна на държавата за сключване на дългосрочен договор за изкупуване на произведената електрическа енергия), като се вземат предвид минимум:</w:t>
      </w:r>
    </w:p>
    <w:p w:rsidR="00950BDF" w:rsidRPr="00950BDF" w:rsidRDefault="00950BDF" w:rsidP="00E44C19">
      <w:pPr>
        <w:spacing w:before="120" w:after="120" w:line="240" w:lineRule="auto"/>
        <w:ind w:left="284"/>
        <w:jc w:val="both"/>
        <w:rPr>
          <w:rFonts w:ascii="Times New Roman" w:hAnsi="Times New Roman" w:cs="Times New Roman"/>
          <w:sz w:val="24"/>
          <w:szCs w:val="24"/>
        </w:rPr>
      </w:pPr>
      <w:r w:rsidRPr="00950BDF">
        <w:rPr>
          <w:rFonts w:ascii="Times New Roman" w:hAnsi="Times New Roman" w:cs="Times New Roman"/>
          <w:sz w:val="24"/>
          <w:szCs w:val="24"/>
        </w:rPr>
        <w:t>Поддейност V.1.1. Техническите параметри на оборудване придобито въз основа на решението по арбитражно дело ICC Case 18086/GZ/MHM и съществуващите в НЕК / на площадка „Белене“ активи, свързани с Проект „АЕЦ Белене“.</w:t>
      </w:r>
    </w:p>
    <w:p w:rsidR="00950BDF" w:rsidRPr="00950BDF" w:rsidRDefault="00950BDF" w:rsidP="00E44C19">
      <w:pPr>
        <w:spacing w:before="120" w:after="120" w:line="240" w:lineRule="auto"/>
        <w:ind w:left="284"/>
        <w:jc w:val="both"/>
        <w:rPr>
          <w:rFonts w:ascii="Times New Roman" w:hAnsi="Times New Roman" w:cs="Times New Roman"/>
          <w:sz w:val="24"/>
          <w:szCs w:val="24"/>
        </w:rPr>
      </w:pPr>
      <w:r w:rsidRPr="00950BDF">
        <w:rPr>
          <w:rFonts w:ascii="Times New Roman" w:hAnsi="Times New Roman" w:cs="Times New Roman"/>
          <w:sz w:val="24"/>
          <w:szCs w:val="24"/>
        </w:rPr>
        <w:t>Поддейност V.1.2. Настоящ енергиен баланс на ниво система/предприятие и прогнози за производство, вътрешно потребление и износ/внос, с цел преценка на необходимостта от изграждане на нова ядрена мощност АЕЦ „Белене“.</w:t>
      </w:r>
    </w:p>
    <w:p w:rsidR="00950BDF" w:rsidRPr="00950BDF" w:rsidRDefault="00950BDF" w:rsidP="00E44C19">
      <w:pPr>
        <w:spacing w:before="120" w:after="120" w:line="240" w:lineRule="auto"/>
        <w:ind w:left="284"/>
        <w:jc w:val="both"/>
        <w:rPr>
          <w:rFonts w:ascii="Times New Roman" w:hAnsi="Times New Roman" w:cs="Times New Roman"/>
          <w:sz w:val="24"/>
          <w:szCs w:val="24"/>
        </w:rPr>
      </w:pPr>
      <w:r w:rsidRPr="00950BDF">
        <w:rPr>
          <w:rFonts w:ascii="Times New Roman" w:hAnsi="Times New Roman" w:cs="Times New Roman"/>
          <w:sz w:val="24"/>
          <w:szCs w:val="24"/>
        </w:rPr>
        <w:t>Поддейност V.1.3. Международна, европейска и национална правно-регулаторна рамка по отношение изграждането на нова ядрена мощност.</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Поддейност V.2. Разработване на вариант за отделяне на активите и пасивите на НЕК, свързани с Проекта „АЕЦ Белене“, в отделно търговско дружество с цел провеждане на последваща процедура по реда на Закона за приватизация и следприватизационен контрол.</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Поддейност V.</w:t>
      </w:r>
      <w:r w:rsidR="00D44B59">
        <w:rPr>
          <w:rFonts w:ascii="Times New Roman" w:hAnsi="Times New Roman" w:cs="Times New Roman"/>
          <w:sz w:val="24"/>
          <w:szCs w:val="24"/>
        </w:rPr>
        <w:t>3</w:t>
      </w:r>
      <w:r w:rsidRPr="00950BDF">
        <w:rPr>
          <w:rFonts w:ascii="Times New Roman" w:hAnsi="Times New Roman" w:cs="Times New Roman"/>
          <w:sz w:val="24"/>
          <w:szCs w:val="24"/>
        </w:rPr>
        <w:t>. Разработване на финансов модел за прогнозиране на паричните потоци от потенциалното изграждане на АЕЦ „Белене“.</w:t>
      </w:r>
    </w:p>
    <w:p w:rsidR="00950BDF" w:rsidRDefault="00950BDF" w:rsidP="00E44C19">
      <w:pPr>
        <w:spacing w:before="120" w:after="120" w:line="240" w:lineRule="auto"/>
        <w:rPr>
          <w:rFonts w:ascii="Times New Roman" w:eastAsia="Times New Roman" w:hAnsi="Times New Roman" w:cs="Times New Roman"/>
          <w:sz w:val="24"/>
          <w:szCs w:val="24"/>
        </w:rPr>
      </w:pPr>
    </w:p>
    <w:p w:rsidR="008D624C" w:rsidRPr="008D624C" w:rsidRDefault="008D624C" w:rsidP="002A32DA">
      <w:pPr>
        <w:pStyle w:val="Heading1"/>
        <w:keepLines/>
        <w:numPr>
          <w:ilvl w:val="0"/>
          <w:numId w:val="1"/>
        </w:numPr>
        <w:spacing w:before="120" w:after="120"/>
        <w:ind w:left="284"/>
        <w:jc w:val="both"/>
        <w:rPr>
          <w:sz w:val="24"/>
          <w:szCs w:val="24"/>
        </w:rPr>
      </w:pPr>
      <w:bookmarkStart w:id="1" w:name="_Toc491680778"/>
      <w:bookmarkStart w:id="2" w:name="_Toc492991240"/>
      <w:bookmarkStart w:id="3" w:name="_Toc492991300"/>
      <w:bookmarkStart w:id="4" w:name="_Toc492991323"/>
      <w:r w:rsidRPr="008D624C">
        <w:rPr>
          <w:sz w:val="24"/>
          <w:szCs w:val="24"/>
        </w:rPr>
        <w:lastRenderedPageBreak/>
        <w:t>Поддейност</w:t>
      </w:r>
      <w:r w:rsidR="003C18F1">
        <w:rPr>
          <w:sz w:val="24"/>
          <w:szCs w:val="24"/>
          <w:lang w:val="bg-BG"/>
        </w:rPr>
        <w:t xml:space="preserve"> </w:t>
      </w:r>
      <w:r w:rsidRPr="008D624C">
        <w:rPr>
          <w:sz w:val="24"/>
          <w:szCs w:val="24"/>
        </w:rPr>
        <w:t>V.1. Технико-икономически и правен анализ на възможностите за използване на придобитотооборудване с дълъгцикъл на производство за изграждане на атомнаелектроцентрала на площадка „Белене“ на пазарен принцип</w:t>
      </w:r>
      <w:bookmarkEnd w:id="1"/>
      <w:bookmarkEnd w:id="2"/>
      <w:bookmarkEnd w:id="3"/>
      <w:bookmarkEnd w:id="4"/>
    </w:p>
    <w:p w:rsidR="008D624C" w:rsidRPr="008D624C" w:rsidRDefault="008D624C" w:rsidP="002A32DA">
      <w:pPr>
        <w:pStyle w:val="Heading2"/>
        <w:keepLines w:val="0"/>
        <w:numPr>
          <w:ilvl w:val="1"/>
          <w:numId w:val="1"/>
        </w:numPr>
        <w:spacing w:before="120" w:after="120" w:line="240" w:lineRule="auto"/>
        <w:ind w:left="425" w:hanging="425"/>
        <w:jc w:val="both"/>
        <w:rPr>
          <w:rFonts w:ascii="Times New Roman" w:hAnsi="Times New Roman" w:cs="Times New Roman"/>
          <w:b w:val="0"/>
          <w:i/>
          <w:color w:val="auto"/>
          <w:sz w:val="24"/>
          <w:szCs w:val="24"/>
        </w:rPr>
      </w:pPr>
      <w:bookmarkStart w:id="5" w:name="_Toc491680779"/>
      <w:bookmarkStart w:id="6" w:name="_Toc492991241"/>
      <w:bookmarkStart w:id="7" w:name="_Toc492991301"/>
      <w:bookmarkStart w:id="8" w:name="_Toc492991324"/>
      <w:r w:rsidRPr="008D624C">
        <w:rPr>
          <w:rFonts w:ascii="Times New Roman" w:hAnsi="Times New Roman" w:cs="Times New Roman"/>
          <w:b w:val="0"/>
          <w:i/>
          <w:color w:val="auto"/>
          <w:sz w:val="24"/>
          <w:szCs w:val="24"/>
        </w:rPr>
        <w:t>Поддейност V.1.1. Техническите параметри на оборудване придобито въз основа на решението по арбитражно дело ICC Case 18086/GZ/MHM и съществуващите в НЕК / на площадка „Белене“ активи, свързани с Проект „АЕЦ Белене“</w:t>
      </w:r>
      <w:bookmarkEnd w:id="5"/>
      <w:bookmarkEnd w:id="6"/>
      <w:bookmarkEnd w:id="7"/>
      <w:bookmarkEnd w:id="8"/>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Въз основа на Решение </w:t>
      </w:r>
      <w:r w:rsidR="00FF3964">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260 от </w:t>
      </w:r>
      <w:r w:rsidR="00FF3964">
        <w:rPr>
          <w:rFonts w:ascii="Times New Roman" w:eastAsia="Times New Roman" w:hAnsi="Times New Roman" w:cs="Times New Roman"/>
          <w:sz w:val="24"/>
          <w:szCs w:val="24"/>
        </w:rPr>
        <w:t>0</w:t>
      </w:r>
      <w:r w:rsidRPr="008D624C">
        <w:rPr>
          <w:rFonts w:ascii="Times New Roman" w:eastAsia="Times New Roman" w:hAnsi="Times New Roman" w:cs="Times New Roman"/>
          <w:sz w:val="24"/>
          <w:szCs w:val="24"/>
        </w:rPr>
        <w:t>8</w:t>
      </w:r>
      <w:r w:rsidR="00FF3964">
        <w:rPr>
          <w:rFonts w:ascii="Times New Roman" w:eastAsia="Times New Roman" w:hAnsi="Times New Roman" w:cs="Times New Roman"/>
          <w:sz w:val="24"/>
          <w:szCs w:val="24"/>
        </w:rPr>
        <w:t>.04.</w:t>
      </w:r>
      <w:r w:rsidRPr="008D624C">
        <w:rPr>
          <w:rFonts w:ascii="Times New Roman" w:eastAsia="Times New Roman" w:hAnsi="Times New Roman" w:cs="Times New Roman"/>
          <w:sz w:val="24"/>
          <w:szCs w:val="24"/>
        </w:rPr>
        <w:t xml:space="preserve">2005 г. на Министерски съвет на Република България, Писмо на Министерството на енергетиката и енергийните ресурси със задължителни инструкции от </w:t>
      </w:r>
      <w:r w:rsidR="00FF3964">
        <w:rPr>
          <w:rFonts w:ascii="Times New Roman" w:eastAsia="Times New Roman" w:hAnsi="Times New Roman" w:cs="Times New Roman"/>
          <w:sz w:val="24"/>
          <w:szCs w:val="24"/>
        </w:rPr>
        <w:t>0</w:t>
      </w:r>
      <w:r w:rsidRPr="008D624C">
        <w:rPr>
          <w:rFonts w:ascii="Times New Roman" w:eastAsia="Times New Roman" w:hAnsi="Times New Roman" w:cs="Times New Roman"/>
          <w:sz w:val="24"/>
          <w:szCs w:val="24"/>
        </w:rPr>
        <w:t>5</w:t>
      </w:r>
      <w:r w:rsidR="00FF3964">
        <w:rPr>
          <w:rFonts w:ascii="Times New Roman" w:eastAsia="Times New Roman" w:hAnsi="Times New Roman" w:cs="Times New Roman"/>
          <w:sz w:val="24"/>
          <w:szCs w:val="24"/>
        </w:rPr>
        <w:t>.05.</w:t>
      </w:r>
      <w:r w:rsidRPr="008D624C">
        <w:rPr>
          <w:rFonts w:ascii="Times New Roman" w:eastAsia="Times New Roman" w:hAnsi="Times New Roman" w:cs="Times New Roman"/>
          <w:sz w:val="24"/>
          <w:szCs w:val="24"/>
        </w:rPr>
        <w:t xml:space="preserve">2005 г. за възобновяване на работата по изграждането на АЕЦ </w:t>
      </w:r>
      <w:r w:rsidR="00FF3964">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Белене”</w:t>
      </w:r>
      <w:r w:rsidR="00FF3964">
        <w:rPr>
          <w:rFonts w:ascii="Times New Roman" w:eastAsia="Times New Roman" w:hAnsi="Times New Roman" w:cs="Times New Roman"/>
          <w:sz w:val="24"/>
          <w:szCs w:val="24"/>
        </w:rPr>
        <w:t>,през 2005 г.</w:t>
      </w:r>
      <w:r w:rsidRPr="008D624C">
        <w:rPr>
          <w:rFonts w:ascii="Times New Roman" w:eastAsia="Times New Roman" w:hAnsi="Times New Roman" w:cs="Times New Roman"/>
          <w:sz w:val="24"/>
          <w:szCs w:val="24"/>
        </w:rPr>
        <w:t xml:space="preserve"> НЕК обяви процедура за възлагане на обществена поръчка за договор за завършване на проектирането и за изграждане, въвеждане в експлоатация на № 1 и № 2 на АЕЦ </w:t>
      </w:r>
      <w:r w:rsidR="00FF3964">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Белене”.</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Проектът на АЕЦ </w:t>
      </w:r>
      <w:r w:rsidR="00FF3964">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Белене” включва два еднотипни блока с мощност 1000 МW и спомагателни сгради и съоръжения. Реакторната инсталация е ВВЕР-1000 (В-466Б). Това е еволюционен проект, който използва резултатите от натрупания многогодишен опит в проектирането и експлоатацията на реактори с топлоносител </w:t>
      </w:r>
      <w:r w:rsidR="00FF3964">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вода под налягане</w:t>
      </w:r>
      <w:r w:rsidR="00FF3964">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и го съчетава със съвременни технически решения и нововъведения. Проектът е разработен от руската компания ЗАО </w:t>
      </w:r>
      <w:r w:rsidR="00FF3964">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Атомстройекспорт</w:t>
      </w:r>
      <w:r w:rsidR="00FF3964">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(АСЕ), която е част от държавна корпорация </w:t>
      </w:r>
      <w:r w:rsidR="00FF3964">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Росатом</w:t>
      </w:r>
      <w:r w:rsidR="00FF3964">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в рамките на сключеното през ноември 2006 г. с българската компания </w:t>
      </w:r>
      <w:r w:rsidR="00FF3964">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НЕК” ЕАД договорно споразумение за изграждане на АЕЦ </w:t>
      </w:r>
      <w:r w:rsidR="00FF3964">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Белене</w:t>
      </w:r>
      <w:r w:rsidR="00FF3964">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Споразумението включва задължение за осъществяване на дейности по инженеринг, доставка и строителство на блокове 1 и 2 на бъдещата ядрена централа </w:t>
      </w:r>
      <w:r w:rsidR="00FF3964">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Белене” (изграждане </w:t>
      </w:r>
      <w:r w:rsidR="00FF3964">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до ключ”). ЗАО </w:t>
      </w:r>
      <w:r w:rsidR="00FF3964">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Атомстройекспорт</w:t>
      </w:r>
      <w:r w:rsidR="00FF3964">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изпълнява задълженията си по споразумението в консорциум с АREVA NP (Франция) и Siemens (Германия) като основни подизпълнители.</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Този преглед обосновава текущото състояние на проекта, подразделен на следните елементи:</w:t>
      </w:r>
    </w:p>
    <w:p w:rsidR="008D624C" w:rsidRPr="008D624C" w:rsidRDefault="00FF3964" w:rsidP="002A32DA">
      <w:pPr>
        <w:numPr>
          <w:ilvl w:val="0"/>
          <w:numId w:val="5"/>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и</w:t>
      </w:r>
      <w:r w:rsidR="008D624C" w:rsidRPr="008D624C">
        <w:rPr>
          <w:rFonts w:ascii="Times New Roman" w:eastAsia="Times New Roman" w:hAnsi="Times New Roman" w:cs="Times New Roman"/>
          <w:sz w:val="24"/>
          <w:szCs w:val="24"/>
        </w:rPr>
        <w:t>зработено оборудване и компоненти</w:t>
      </w:r>
      <w:r>
        <w:rPr>
          <w:rFonts w:ascii="Times New Roman" w:eastAsia="Times New Roman" w:hAnsi="Times New Roman" w:cs="Times New Roman"/>
          <w:sz w:val="24"/>
          <w:szCs w:val="24"/>
        </w:rPr>
        <w:t>;</w:t>
      </w:r>
    </w:p>
    <w:p w:rsidR="008D624C" w:rsidRPr="008D624C" w:rsidRDefault="00FF3964" w:rsidP="002A32DA">
      <w:pPr>
        <w:numPr>
          <w:ilvl w:val="0"/>
          <w:numId w:val="5"/>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с</w:t>
      </w:r>
      <w:r w:rsidR="008D624C" w:rsidRPr="008D624C">
        <w:rPr>
          <w:rFonts w:ascii="Times New Roman" w:eastAsia="Times New Roman" w:hAnsi="Times New Roman" w:cs="Times New Roman"/>
          <w:sz w:val="24"/>
          <w:szCs w:val="24"/>
        </w:rPr>
        <w:t>ъстояние на площадката</w:t>
      </w:r>
      <w:r>
        <w:rPr>
          <w:rFonts w:ascii="Times New Roman" w:eastAsia="Times New Roman" w:hAnsi="Times New Roman" w:cs="Times New Roman"/>
          <w:sz w:val="24"/>
          <w:szCs w:val="24"/>
        </w:rPr>
        <w:t>;</w:t>
      </w:r>
    </w:p>
    <w:p w:rsidR="008D624C" w:rsidRPr="008D624C" w:rsidRDefault="00FF3964" w:rsidP="002A32DA">
      <w:pPr>
        <w:numPr>
          <w:ilvl w:val="0"/>
          <w:numId w:val="5"/>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н</w:t>
      </w:r>
      <w:r w:rsidR="008D624C" w:rsidRPr="008D624C">
        <w:rPr>
          <w:rFonts w:ascii="Times New Roman" w:eastAsia="Times New Roman" w:hAnsi="Times New Roman" w:cs="Times New Roman"/>
          <w:sz w:val="24"/>
          <w:szCs w:val="24"/>
        </w:rPr>
        <w:t>иво на проектна готовност</w:t>
      </w:r>
      <w:r>
        <w:rPr>
          <w:rFonts w:ascii="Times New Roman" w:eastAsia="Times New Roman" w:hAnsi="Times New Roman" w:cs="Times New Roman"/>
          <w:sz w:val="24"/>
          <w:szCs w:val="24"/>
        </w:rPr>
        <w:t>;</w:t>
      </w:r>
    </w:p>
    <w:p w:rsidR="008D624C" w:rsidRPr="008D624C" w:rsidRDefault="00FF3964" w:rsidP="002A32DA">
      <w:pPr>
        <w:numPr>
          <w:ilvl w:val="0"/>
          <w:numId w:val="5"/>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и</w:t>
      </w:r>
      <w:r w:rsidR="008D624C" w:rsidRPr="008D624C">
        <w:rPr>
          <w:rFonts w:ascii="Times New Roman" w:eastAsia="Times New Roman" w:hAnsi="Times New Roman" w:cs="Times New Roman"/>
          <w:sz w:val="24"/>
          <w:szCs w:val="24"/>
        </w:rPr>
        <w:t>здадени решения и разрешения по проекта</w:t>
      </w:r>
      <w:r>
        <w:rPr>
          <w:rFonts w:ascii="Times New Roman" w:eastAsia="Times New Roman" w:hAnsi="Times New Roman" w:cs="Times New Roman"/>
          <w:sz w:val="24"/>
          <w:szCs w:val="24"/>
        </w:rPr>
        <w:t>;</w:t>
      </w:r>
    </w:p>
    <w:p w:rsidR="008D624C" w:rsidRPr="008D624C" w:rsidRDefault="00FF3964" w:rsidP="002A32DA">
      <w:pPr>
        <w:numPr>
          <w:ilvl w:val="0"/>
          <w:numId w:val="5"/>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о</w:t>
      </w:r>
      <w:r w:rsidR="008D624C" w:rsidRPr="008D624C">
        <w:rPr>
          <w:rFonts w:ascii="Times New Roman" w:eastAsia="Times New Roman" w:hAnsi="Times New Roman" w:cs="Times New Roman"/>
          <w:sz w:val="24"/>
          <w:szCs w:val="24"/>
        </w:rPr>
        <w:t>рганизационна структура за управление на проекта.</w:t>
      </w:r>
    </w:p>
    <w:p w:rsidR="00395C54" w:rsidRDefault="00395C54" w:rsidP="00E44C19">
      <w:pPr>
        <w:spacing w:before="120" w:after="120" w:line="240" w:lineRule="auto"/>
        <w:jc w:val="both"/>
        <w:rPr>
          <w:rFonts w:ascii="Times New Roman" w:eastAsia="Times New Roman" w:hAnsi="Times New Roman" w:cs="Times New Roman"/>
          <w:b/>
          <w:sz w:val="24"/>
          <w:szCs w:val="24"/>
        </w:rPr>
      </w:pPr>
    </w:p>
    <w:p w:rsidR="008D624C" w:rsidRPr="00E44C19" w:rsidRDefault="008D624C" w:rsidP="00E44C19">
      <w:pPr>
        <w:spacing w:before="120" w:after="120" w:line="240" w:lineRule="auto"/>
        <w:jc w:val="both"/>
        <w:rPr>
          <w:rFonts w:ascii="Times New Roman" w:eastAsia="Times New Roman" w:hAnsi="Times New Roman" w:cs="Times New Roman"/>
          <w:sz w:val="24"/>
          <w:szCs w:val="24"/>
          <w:u w:val="single"/>
        </w:rPr>
      </w:pPr>
      <w:r w:rsidRPr="00E44C19">
        <w:rPr>
          <w:rFonts w:ascii="Times New Roman" w:eastAsia="Times New Roman" w:hAnsi="Times New Roman" w:cs="Times New Roman"/>
          <w:sz w:val="24"/>
          <w:szCs w:val="24"/>
          <w:u w:val="single"/>
        </w:rPr>
        <w:t xml:space="preserve">Статус на проекта </w:t>
      </w:r>
      <w:r w:rsidR="00194246" w:rsidRPr="00E44C19">
        <w:rPr>
          <w:rFonts w:ascii="Times New Roman" w:eastAsia="Times New Roman" w:hAnsi="Times New Roman" w:cs="Times New Roman"/>
          <w:sz w:val="24"/>
          <w:szCs w:val="24"/>
          <w:u w:val="single"/>
        </w:rPr>
        <w:t xml:space="preserve">„Белене” </w:t>
      </w:r>
      <w:r w:rsidRPr="00E44C19">
        <w:rPr>
          <w:rFonts w:ascii="Times New Roman" w:eastAsia="Times New Roman" w:hAnsi="Times New Roman" w:cs="Times New Roman"/>
          <w:sz w:val="24"/>
          <w:szCs w:val="24"/>
          <w:u w:val="single"/>
        </w:rPr>
        <w:t>по данни на НЕК</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От страна на НЕК ЕАД е предоставена изчерпателна информация по проекта </w:t>
      </w:r>
      <w:r w:rsidR="00FF3964">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Белене</w:t>
      </w:r>
      <w:r w:rsidR="00FF3964">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на база на наличните в компанията документи. Предоставената информация включва:</w:t>
      </w:r>
    </w:p>
    <w:p w:rsidR="008D624C" w:rsidRPr="008D624C" w:rsidRDefault="008D624C" w:rsidP="002A32DA">
      <w:pPr>
        <w:numPr>
          <w:ilvl w:val="0"/>
          <w:numId w:val="6"/>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основни технически характеристики и параметри на АЕЦ с реакторна инсталация В-466 (проект на АЕЦ „Белене”), в т.ч. списък на основно оборудване и режими на работа.</w:t>
      </w:r>
    </w:p>
    <w:p w:rsidR="008D624C" w:rsidRPr="008D624C" w:rsidRDefault="008D624C" w:rsidP="00E44C19">
      <w:pPr>
        <w:spacing w:before="120" w:after="120" w:line="240" w:lineRule="auto"/>
        <w:ind w:left="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Тази информация се използва за оценка на доставеното оборудване спрямо необходимото. Данните се използват и за формулиране на основните производствени и технологични параметри, необходими за разработване на финансов модел на проекта.</w:t>
      </w:r>
    </w:p>
    <w:p w:rsidR="008D624C" w:rsidRPr="008D624C" w:rsidRDefault="00FF3964" w:rsidP="002A32DA">
      <w:pPr>
        <w:numPr>
          <w:ilvl w:val="0"/>
          <w:numId w:val="6"/>
        </w:numPr>
        <w:spacing w:before="120" w:after="12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w:t>
      </w:r>
      <w:r w:rsidR="008D624C" w:rsidRPr="008D624C">
        <w:rPr>
          <w:rFonts w:ascii="Times New Roman" w:eastAsia="Times New Roman" w:hAnsi="Times New Roman" w:cs="Times New Roman"/>
          <w:sz w:val="24"/>
          <w:szCs w:val="24"/>
        </w:rPr>
        <w:t>езюме на техническия проект на АЕЦ „Белене“</w:t>
      </w:r>
      <w:r>
        <w:rPr>
          <w:rFonts w:ascii="Times New Roman" w:eastAsia="Times New Roman" w:hAnsi="Times New Roman" w:cs="Times New Roman"/>
          <w:sz w:val="24"/>
          <w:szCs w:val="24"/>
        </w:rPr>
        <w:t>.</w:t>
      </w:r>
    </w:p>
    <w:p w:rsidR="008D624C" w:rsidRPr="008D624C" w:rsidRDefault="008D624C" w:rsidP="00E44C19">
      <w:pPr>
        <w:spacing w:before="120" w:after="120" w:line="240" w:lineRule="auto"/>
        <w:ind w:left="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Тази информация може да се използва при необходимост от задълбочено изследване на специфични въпроси при финансово моделиране на работа при режим на работа на блоковете в широк диапазон на промяна на товара. Например, оценка на маневрените качества и режими на работа на база на </w:t>
      </w:r>
      <w:r w:rsidRPr="00D21643">
        <w:rPr>
          <w:rFonts w:ascii="Times New Roman" w:eastAsia="Times New Roman" w:hAnsi="Times New Roman" w:cs="Times New Roman"/>
          <w:sz w:val="24"/>
          <w:szCs w:val="24"/>
        </w:rPr>
        <w:t>Приложение 4 Тематичен отчет по анализа на готовността</w:t>
      </w:r>
      <w:r w:rsidRPr="008D624C">
        <w:rPr>
          <w:rFonts w:ascii="Times New Roman" w:eastAsia="Times New Roman" w:hAnsi="Times New Roman" w:cs="Times New Roman"/>
          <w:sz w:val="24"/>
          <w:szCs w:val="24"/>
        </w:rPr>
        <w:t>, което съдържа информация за експлоатацията на блок ВВЕР-1000 (В-320) и модел за оценка на недостиг на производството на електроенергия по извънпланово спиране или ограничаване на мощността.</w:t>
      </w:r>
    </w:p>
    <w:p w:rsidR="008D624C" w:rsidRPr="008D624C" w:rsidRDefault="008D624C" w:rsidP="002A32DA">
      <w:pPr>
        <w:numPr>
          <w:ilvl w:val="0"/>
          <w:numId w:val="6"/>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списък на ОДЦП в завършване (иск </w:t>
      </w:r>
      <w:r w:rsidR="00FF3964">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3a</w:t>
      </w:r>
      <w:r w:rsidR="00FF3964">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по арбитражното решение), което да бъде доставено на НЕК</w:t>
      </w:r>
      <w:r w:rsidR="00FF3964">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и електронна таблица с Разходи за активи в процес на изграждане на АЕЦ </w:t>
      </w:r>
      <w:r w:rsidR="00FF3964">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Белене</w:t>
      </w:r>
      <w:r w:rsidR="00FF3964">
        <w:rPr>
          <w:rFonts w:ascii="Times New Roman" w:eastAsia="Times New Roman" w:hAnsi="Times New Roman" w:cs="Times New Roman"/>
          <w:sz w:val="24"/>
          <w:szCs w:val="24"/>
        </w:rPr>
        <w:t>”.</w:t>
      </w:r>
    </w:p>
    <w:p w:rsidR="008D624C" w:rsidRPr="008D624C" w:rsidRDefault="008D624C" w:rsidP="00E44C19">
      <w:pPr>
        <w:spacing w:before="120" w:after="120" w:line="240" w:lineRule="auto"/>
        <w:ind w:left="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Тази информация е в основата за оценка на наличните активи по проекта Белене и анализ на дела им към общата прогнозна стойност по проекта, при различни допускания за развитието му, представена в т.3 по-</w:t>
      </w:r>
      <w:r w:rsidR="00FF3964">
        <w:rPr>
          <w:rFonts w:ascii="Times New Roman" w:eastAsia="Times New Roman" w:hAnsi="Times New Roman" w:cs="Times New Roman"/>
          <w:sz w:val="24"/>
          <w:szCs w:val="24"/>
        </w:rPr>
        <w:t>нататък</w:t>
      </w:r>
      <w:r w:rsidRPr="008D624C">
        <w:rPr>
          <w:rFonts w:ascii="Times New Roman" w:eastAsia="Times New Roman" w:hAnsi="Times New Roman" w:cs="Times New Roman"/>
          <w:sz w:val="24"/>
          <w:szCs w:val="24"/>
        </w:rPr>
        <w:t>. Подлежащото на доставяне оборудване е представено на фиг</w:t>
      </w:r>
      <w:r w:rsidR="004464CF">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w:t>
      </w:r>
      <w:r w:rsidR="00FF3964">
        <w:rPr>
          <w:rFonts w:ascii="Times New Roman" w:eastAsia="Times New Roman" w:hAnsi="Times New Roman" w:cs="Times New Roman"/>
          <w:sz w:val="24"/>
          <w:szCs w:val="24"/>
          <w:lang w:val="en-US"/>
        </w:rPr>
        <w:t>V</w:t>
      </w:r>
      <w:r w:rsidR="00194246">
        <w:rPr>
          <w:rFonts w:ascii="Times New Roman" w:eastAsia="Times New Roman" w:hAnsi="Times New Roman" w:cs="Times New Roman"/>
          <w:sz w:val="24"/>
          <w:szCs w:val="24"/>
          <w:lang w:val="en-US"/>
        </w:rPr>
        <w:t>.</w:t>
      </w:r>
      <w:r w:rsidRPr="008D624C">
        <w:rPr>
          <w:rFonts w:ascii="Times New Roman" w:eastAsia="Times New Roman" w:hAnsi="Times New Roman" w:cs="Times New Roman"/>
          <w:sz w:val="24"/>
          <w:szCs w:val="24"/>
        </w:rPr>
        <w:t>1.</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Доставеното оборудване като интегрална част от целия ядрен блок е представено на фиг</w:t>
      </w:r>
      <w:r w:rsidR="003C18F1">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V.</w:t>
      </w:r>
      <w:r w:rsidRPr="008D624C">
        <w:rPr>
          <w:rFonts w:ascii="Times New Roman" w:eastAsia="Times New Roman" w:hAnsi="Times New Roman" w:cs="Times New Roman"/>
          <w:sz w:val="24"/>
          <w:szCs w:val="24"/>
        </w:rPr>
        <w:t>1.</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p>
    <w:p w:rsidR="008D624C" w:rsidRPr="00E44C19" w:rsidRDefault="008D624C" w:rsidP="00E44C19">
      <w:pPr>
        <w:spacing w:before="120" w:after="120" w:line="240" w:lineRule="auto"/>
        <w:jc w:val="both"/>
        <w:rPr>
          <w:rFonts w:ascii="Times New Roman" w:eastAsia="Times New Roman" w:hAnsi="Times New Roman" w:cs="Times New Roman"/>
          <w:sz w:val="24"/>
          <w:szCs w:val="24"/>
          <w:u w:val="single"/>
        </w:rPr>
      </w:pPr>
      <w:r w:rsidRPr="00E44C19">
        <w:rPr>
          <w:rFonts w:ascii="Times New Roman" w:eastAsia="Times New Roman" w:hAnsi="Times New Roman" w:cs="Times New Roman"/>
          <w:sz w:val="24"/>
          <w:szCs w:val="24"/>
          <w:u w:val="single"/>
        </w:rPr>
        <w:t>Становище на АЯР по статуса на проекта</w:t>
      </w:r>
      <w:r w:rsidR="00194246" w:rsidRPr="00E44C19">
        <w:rPr>
          <w:rFonts w:ascii="Times New Roman" w:eastAsia="Times New Roman" w:hAnsi="Times New Roman" w:cs="Times New Roman"/>
          <w:sz w:val="24"/>
          <w:szCs w:val="24"/>
          <w:u w:val="single"/>
        </w:rPr>
        <w:t xml:space="preserve"> „Белене”</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В писмо от страна на АЯР е направено детайлно изложение по фактологията и лицензионния статус на проекта </w:t>
      </w:r>
      <w:r w:rsidR="00194246">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Белене</w:t>
      </w:r>
      <w:r w:rsidR="00194246">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Изброени са решенията на Министерски съвет за иницииране на проекта и за неговото спиране.</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Отбелязана е процедурата по нотификация на ЕК, във връзка с Договора за Евратом. Изброени са издадените разрешения от страна на АЯР за проекта </w:t>
      </w:r>
      <w:r w:rsidR="00194246">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Белене</w:t>
      </w:r>
      <w:r w:rsidR="00194246">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Специално внимание е отделено на процедурата по одобрение на техническия проект, инициирана след заявление от 2008 г. В писмото си АЯР израз</w:t>
      </w:r>
      <w:r w:rsidR="00194246">
        <w:rPr>
          <w:rFonts w:ascii="Times New Roman" w:eastAsia="Times New Roman" w:hAnsi="Times New Roman" w:cs="Times New Roman"/>
          <w:sz w:val="24"/>
          <w:szCs w:val="24"/>
        </w:rPr>
        <w:t>ява становище, че издадените до</w:t>
      </w:r>
      <w:r w:rsidRPr="008D624C">
        <w:rPr>
          <w:rFonts w:ascii="Times New Roman" w:eastAsia="Times New Roman" w:hAnsi="Times New Roman" w:cs="Times New Roman"/>
          <w:sz w:val="24"/>
          <w:szCs w:val="24"/>
        </w:rPr>
        <w:t xml:space="preserve">сега разрешения и одобрения са валидни и не трябва да се преиздават. </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Според писмото</w:t>
      </w:r>
      <w:r w:rsidR="00194246">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лицензионната процедура би трябвало да продължи от етапа на одобрение на техническия проект, при възобновяване на работите по проекта </w:t>
      </w:r>
      <w:r w:rsidR="00194246">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Белене</w:t>
      </w:r>
      <w:r w:rsidR="00194246">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Важно е да се отбележи, че е обърнато внимание на необходимостта от актуализация на техническия проект, която ще позволи както да се отчетат резултатите от прегледа и оценката на документите от АЯР, така и да се направи оценка на проекта от гледна точка на действащите изисквания за ядрена безопасност и други.</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В писмото на АЯР не се посочва за издадено разрешение за строителство от АЯР, което означава, че такова предстои да бъде издавано. </w:t>
      </w:r>
      <w:r w:rsidR="00194246">
        <w:rPr>
          <w:rFonts w:ascii="Times New Roman" w:eastAsia="Times New Roman" w:hAnsi="Times New Roman" w:cs="Times New Roman"/>
          <w:sz w:val="24"/>
          <w:szCs w:val="24"/>
        </w:rPr>
        <w:t>Тряб</w:t>
      </w:r>
      <w:r w:rsidRPr="008D624C">
        <w:rPr>
          <w:rFonts w:ascii="Times New Roman" w:eastAsia="Times New Roman" w:hAnsi="Times New Roman" w:cs="Times New Roman"/>
          <w:sz w:val="24"/>
          <w:szCs w:val="24"/>
        </w:rPr>
        <w:t>ва да се има предвид обаче, че заявление за издаване на разрешение за строителство на ядреното съоръжения може да бъде подадено само ако вече са одобрени както избраната площадка, така и изготвения технически проект.</w:t>
      </w:r>
    </w:p>
    <w:p w:rsidR="008D624C" w:rsidRDefault="008D624C" w:rsidP="00E44C19">
      <w:pPr>
        <w:spacing w:before="120" w:after="120" w:line="240" w:lineRule="auto"/>
        <w:jc w:val="both"/>
        <w:rPr>
          <w:rFonts w:ascii="Times New Roman" w:eastAsia="Times New Roman" w:hAnsi="Times New Roman" w:cs="Times New Roman"/>
          <w:sz w:val="24"/>
          <w:szCs w:val="24"/>
          <w:lang w:val="en-US"/>
        </w:rPr>
      </w:pPr>
      <w:r w:rsidRPr="008D624C">
        <w:rPr>
          <w:rFonts w:ascii="Times New Roman" w:eastAsia="Times New Roman" w:hAnsi="Times New Roman" w:cs="Times New Roman"/>
          <w:sz w:val="24"/>
          <w:szCs w:val="24"/>
        </w:rPr>
        <w:t>Посочената информация се използва за оценка на проектната готовност и оценка на графика за реализация на проекта, след решение за неговото подновяване.</w:t>
      </w:r>
    </w:p>
    <w:p w:rsidR="00F968DC" w:rsidRDefault="00F968DC">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rsidR="008D624C" w:rsidRPr="00C4220F" w:rsidRDefault="00F968DC" w:rsidP="00C4220F">
      <w:pPr>
        <w:pStyle w:val="Caption"/>
        <w:rPr>
          <w:rFonts w:ascii="Times New Roman" w:hAnsi="Times New Roman"/>
          <w:szCs w:val="24"/>
          <w:lang w:val="en-US"/>
        </w:rPr>
      </w:pPr>
      <w:bookmarkStart w:id="9" w:name="_Toc491680817"/>
      <w:bookmarkStart w:id="10" w:name="_Toc493240917"/>
      <w:r w:rsidRPr="00C4220F">
        <w:rPr>
          <w:rFonts w:ascii="Times New Roman" w:hAnsi="Times New Roman"/>
        </w:rPr>
        <w:lastRenderedPageBreak/>
        <w:t>Фигура</w:t>
      </w:r>
      <w:r w:rsidR="00505B2E">
        <w:rPr>
          <w:rFonts w:ascii="Times New Roman" w:hAnsi="Times New Roman"/>
        </w:rPr>
        <w:t xml:space="preserve"> </w:t>
      </w:r>
      <w:r w:rsidRPr="00C4220F">
        <w:rPr>
          <w:rFonts w:ascii="Times New Roman" w:hAnsi="Times New Roman"/>
        </w:rPr>
        <w:t>V.</w:t>
      </w:r>
      <w:r w:rsidR="0097530B" w:rsidRPr="00C4220F">
        <w:rPr>
          <w:rFonts w:ascii="Times New Roman" w:hAnsi="Times New Roman"/>
        </w:rPr>
        <w:fldChar w:fldCharType="begin"/>
      </w:r>
      <w:r w:rsidR="00042F89" w:rsidRPr="00C4220F">
        <w:rPr>
          <w:rFonts w:ascii="Times New Roman" w:hAnsi="Times New Roman"/>
        </w:rPr>
        <w:instrText xml:space="preserve"> SEQ Фигура_V. \* ARABIC </w:instrText>
      </w:r>
      <w:r w:rsidR="0097530B" w:rsidRPr="00C4220F">
        <w:rPr>
          <w:rFonts w:ascii="Times New Roman" w:hAnsi="Times New Roman"/>
        </w:rPr>
        <w:fldChar w:fldCharType="separate"/>
      </w:r>
      <w:r w:rsidR="00F44EBF">
        <w:rPr>
          <w:rFonts w:ascii="Times New Roman" w:hAnsi="Times New Roman"/>
          <w:noProof/>
        </w:rPr>
        <w:t>1</w:t>
      </w:r>
      <w:r w:rsidR="0097530B" w:rsidRPr="00C4220F">
        <w:rPr>
          <w:rFonts w:ascii="Times New Roman" w:hAnsi="Times New Roman"/>
          <w:noProof/>
        </w:rPr>
        <w:fldChar w:fldCharType="end"/>
      </w:r>
      <w:r w:rsidR="00C4220F">
        <w:rPr>
          <w:rFonts w:ascii="Times New Roman" w:hAnsi="Times New Roman"/>
          <w:noProof/>
        </w:rPr>
        <w:t>.</w:t>
      </w:r>
      <w:r w:rsidR="00C4220F" w:rsidRPr="00C4220F">
        <w:rPr>
          <w:rFonts w:ascii="Times New Roman" w:hAnsi="Times New Roman"/>
          <w:noProof/>
        </w:rPr>
        <w:t xml:space="preserve"> </w:t>
      </w:r>
      <w:r w:rsidR="008D624C" w:rsidRPr="00C4220F">
        <w:rPr>
          <w:rFonts w:ascii="Times New Roman" w:hAnsi="Times New Roman"/>
          <w:szCs w:val="24"/>
        </w:rPr>
        <w:t>Схема на доставеното оборудване като част от ядрения блок</w:t>
      </w:r>
      <w:bookmarkEnd w:id="9"/>
      <w:bookmarkEnd w:id="10"/>
    </w:p>
    <w:p w:rsidR="008D624C" w:rsidRPr="00E44C19" w:rsidRDefault="008D624C" w:rsidP="00E44C19">
      <w:pPr>
        <w:spacing w:before="120" w:after="120" w:line="240" w:lineRule="auto"/>
        <w:jc w:val="both"/>
        <w:rPr>
          <w:rFonts w:ascii="Times New Roman" w:eastAsia="Times New Roman" w:hAnsi="Times New Roman" w:cs="Times New Roman"/>
          <w:sz w:val="24"/>
          <w:szCs w:val="24"/>
          <w:u w:val="single"/>
        </w:rPr>
      </w:pPr>
      <w:r w:rsidRPr="00F968DC">
        <w:rPr>
          <w:rFonts w:ascii="Times New Roman" w:eastAsia="Times New Roman" w:hAnsi="Times New Roman" w:cs="Times New Roman"/>
          <w:noProof/>
          <w:sz w:val="24"/>
          <w:szCs w:val="24"/>
          <w:bdr w:val="single" w:sz="4" w:space="0" w:color="auto"/>
        </w:rPr>
        <w:drawing>
          <wp:inline distT="0" distB="0" distL="0" distR="0">
            <wp:extent cx="5761990" cy="6995795"/>
            <wp:effectExtent l="19050" t="0" r="0"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5761990" cy="6995795"/>
                    </a:xfrm>
                    <a:prstGeom prst="rect">
                      <a:avLst/>
                    </a:prstGeom>
                    <a:noFill/>
                    <a:ln w="9525">
                      <a:noFill/>
                      <a:miter lim="800000"/>
                      <a:headEnd/>
                      <a:tailEnd/>
                    </a:ln>
                  </pic:spPr>
                </pic:pic>
              </a:graphicData>
            </a:graphic>
          </wp:inline>
        </w:drawing>
      </w:r>
      <w:r w:rsidRPr="008D624C">
        <w:rPr>
          <w:rFonts w:ascii="Times New Roman" w:eastAsia="Times New Roman" w:hAnsi="Times New Roman" w:cs="Times New Roman"/>
          <w:sz w:val="24"/>
          <w:szCs w:val="24"/>
        </w:rPr>
        <w:br w:type="page"/>
      </w:r>
      <w:r w:rsidRPr="00E44C19">
        <w:rPr>
          <w:rFonts w:ascii="Times New Roman" w:eastAsia="Times New Roman" w:hAnsi="Times New Roman" w:cs="Times New Roman"/>
          <w:sz w:val="24"/>
          <w:szCs w:val="24"/>
          <w:u w:val="single"/>
        </w:rPr>
        <w:lastRenderedPageBreak/>
        <w:t>Други данни за статуса на проекта</w:t>
      </w:r>
      <w:r w:rsidR="00194246" w:rsidRPr="00E44C19">
        <w:rPr>
          <w:rFonts w:ascii="Times New Roman" w:eastAsia="Times New Roman" w:hAnsi="Times New Roman" w:cs="Times New Roman"/>
          <w:sz w:val="24"/>
          <w:szCs w:val="24"/>
          <w:u w:val="single"/>
        </w:rPr>
        <w:t xml:space="preserve"> „Белене”</w:t>
      </w:r>
    </w:p>
    <w:p w:rsidR="008D624C" w:rsidRPr="008D624C" w:rsidRDefault="008D624C" w:rsidP="00E44C19">
      <w:pPr>
        <w:spacing w:before="120" w:after="120" w:line="240" w:lineRule="auto"/>
        <w:jc w:val="both"/>
        <w:rPr>
          <w:rFonts w:ascii="Times New Roman" w:eastAsia="Times New Roman" w:hAnsi="Times New Roman" w:cs="Times New Roman"/>
          <w:i/>
          <w:sz w:val="24"/>
          <w:szCs w:val="24"/>
        </w:rPr>
      </w:pPr>
      <w:r w:rsidRPr="008D624C">
        <w:rPr>
          <w:rFonts w:ascii="Times New Roman" w:eastAsia="Times New Roman" w:hAnsi="Times New Roman" w:cs="Times New Roman"/>
          <w:i/>
          <w:sz w:val="24"/>
          <w:szCs w:val="24"/>
        </w:rPr>
        <w:t>Процедура по ОВОС</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Важен аспект от оценката е наличието на одобрен ОВОС за проекта </w:t>
      </w:r>
      <w:r w:rsidR="009B34B7">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Белене</w:t>
      </w:r>
      <w:r w:rsidR="009B34B7">
        <w:rPr>
          <w:rFonts w:ascii="Times New Roman" w:eastAsia="Times New Roman" w:hAnsi="Times New Roman" w:cs="Times New Roman"/>
          <w:sz w:val="24"/>
          <w:szCs w:val="24"/>
        </w:rPr>
        <w:t>”</w:t>
      </w:r>
      <w:r w:rsidR="001045DC">
        <w:rPr>
          <w:rFonts w:ascii="Times New Roman" w:eastAsia="Times New Roman" w:hAnsi="Times New Roman" w:cs="Times New Roman"/>
          <w:sz w:val="24"/>
          <w:szCs w:val="24"/>
        </w:rPr>
        <w:t xml:space="preserve"> на площадка „Белене“</w:t>
      </w:r>
      <w:r w:rsidRPr="008D624C">
        <w:rPr>
          <w:rFonts w:ascii="Times New Roman" w:eastAsia="Times New Roman" w:hAnsi="Times New Roman" w:cs="Times New Roman"/>
          <w:sz w:val="24"/>
          <w:szCs w:val="24"/>
        </w:rPr>
        <w:t>. През 2004 г</w:t>
      </w:r>
      <w:r w:rsidR="00F9424A">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МОСВ е издало решение за одобрение на доклада по ОВОС.</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Във връзка с поставен въпрос в Народното събрание, през 2016 г</w:t>
      </w:r>
      <w:r w:rsidR="00F9424A">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министър</w:t>
      </w:r>
      <w:r w:rsidR="009B34B7">
        <w:rPr>
          <w:rFonts w:ascii="Times New Roman" w:eastAsia="Times New Roman" w:hAnsi="Times New Roman" w:cs="Times New Roman"/>
          <w:sz w:val="24"/>
          <w:szCs w:val="24"/>
        </w:rPr>
        <w:t>ът</w:t>
      </w:r>
      <w:r w:rsidRPr="008D624C">
        <w:rPr>
          <w:rFonts w:ascii="Times New Roman" w:eastAsia="Times New Roman" w:hAnsi="Times New Roman" w:cs="Times New Roman"/>
          <w:sz w:val="24"/>
          <w:szCs w:val="24"/>
        </w:rPr>
        <w:t xml:space="preserve"> на ОСВ посочва, че е извършена проверка на място от РИОСВ и е установено, че на обекта са започнали строителни работи по проекта и следователно решението по ОВОС е в сила.</w:t>
      </w:r>
    </w:p>
    <w:p w:rsidR="00F9424A" w:rsidRDefault="00F9424A" w:rsidP="00E44C19">
      <w:pPr>
        <w:spacing w:before="120" w:after="120" w:line="240" w:lineRule="auto"/>
        <w:jc w:val="both"/>
        <w:rPr>
          <w:rFonts w:ascii="Times New Roman" w:eastAsia="Times New Roman" w:hAnsi="Times New Roman" w:cs="Times New Roman"/>
          <w:i/>
          <w:sz w:val="24"/>
          <w:szCs w:val="24"/>
        </w:rPr>
      </w:pPr>
    </w:p>
    <w:p w:rsidR="008D624C" w:rsidRPr="008D624C" w:rsidRDefault="008D624C" w:rsidP="00E44C19">
      <w:pPr>
        <w:spacing w:before="120" w:after="120" w:line="240" w:lineRule="auto"/>
        <w:jc w:val="both"/>
        <w:rPr>
          <w:rFonts w:ascii="Times New Roman" w:eastAsia="Times New Roman" w:hAnsi="Times New Roman" w:cs="Times New Roman"/>
          <w:i/>
          <w:sz w:val="24"/>
          <w:szCs w:val="24"/>
        </w:rPr>
      </w:pPr>
      <w:r w:rsidRPr="008D624C">
        <w:rPr>
          <w:rFonts w:ascii="Times New Roman" w:eastAsia="Times New Roman" w:hAnsi="Times New Roman" w:cs="Times New Roman"/>
          <w:i/>
          <w:sz w:val="24"/>
          <w:szCs w:val="24"/>
        </w:rPr>
        <w:t>Процедура по ЗУТ</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От анализа на техническата документация по ЗУТ е видно, че за обекта има издадени разрешения и са започнали строителни работи, но поради спецификата на издадено разрешение на база на идеен проект, както и поради липса на одобрен технически проект от АЯР, се предвижда процедура по преиздаване на техническия проект и одобрението му по смисъла на ЗУТ.</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В тази връзка може да се посочи, че в графика за изпълнение на задачи на архитект-инженера, в периода на активности по проекта (2009 г.), има предвидена дейност „Представяне на искане до МРРБ за окончателно одобрение на разрешение за строителство“, която следва дейността издаване на разрешение за строителство от АЯР.</w:t>
      </w:r>
    </w:p>
    <w:p w:rsidR="00F9424A" w:rsidRDefault="00F9424A" w:rsidP="00E44C19">
      <w:pPr>
        <w:spacing w:before="120" w:after="120" w:line="240" w:lineRule="auto"/>
        <w:jc w:val="both"/>
        <w:rPr>
          <w:rFonts w:ascii="Times New Roman" w:eastAsia="Times New Roman" w:hAnsi="Times New Roman" w:cs="Times New Roman"/>
          <w:i/>
          <w:sz w:val="24"/>
          <w:szCs w:val="24"/>
        </w:rPr>
      </w:pPr>
    </w:p>
    <w:p w:rsidR="008D624C" w:rsidRPr="008D624C" w:rsidRDefault="008D624C" w:rsidP="00E44C19">
      <w:pPr>
        <w:spacing w:before="120" w:after="120" w:line="240" w:lineRule="auto"/>
        <w:jc w:val="both"/>
        <w:rPr>
          <w:rFonts w:ascii="Times New Roman" w:eastAsia="Times New Roman" w:hAnsi="Times New Roman" w:cs="Times New Roman"/>
          <w:i/>
          <w:sz w:val="24"/>
          <w:szCs w:val="24"/>
        </w:rPr>
      </w:pPr>
      <w:r w:rsidRPr="008D624C">
        <w:rPr>
          <w:rFonts w:ascii="Times New Roman" w:eastAsia="Times New Roman" w:hAnsi="Times New Roman" w:cs="Times New Roman"/>
          <w:i/>
          <w:sz w:val="24"/>
          <w:szCs w:val="24"/>
        </w:rPr>
        <w:t>Арбитражно дело ICC Case 18086/GZ/MHM</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Решението по посоченото арбитражно дело е претенциите на АСЕ да бъдат удовлетворени по отношение основно за Искове 1 (Неплатени фактури), 2 (Изпълнени, но неприети ключови събития), 3 (Работи, изпълнявани към момента на прекратяване на договора, в т.ч. ОДЦП и СМР) и част от Иск 6 (Пропуснати ползи от незавършени работи). </w:t>
      </w:r>
      <w:r w:rsidR="009B34B7">
        <w:rPr>
          <w:rFonts w:ascii="Times New Roman" w:eastAsia="Times New Roman" w:hAnsi="Times New Roman" w:cs="Times New Roman"/>
          <w:sz w:val="24"/>
          <w:szCs w:val="24"/>
        </w:rPr>
        <w:t>Тряб</w:t>
      </w:r>
      <w:r w:rsidRPr="008D624C">
        <w:rPr>
          <w:rFonts w:ascii="Times New Roman" w:eastAsia="Times New Roman" w:hAnsi="Times New Roman" w:cs="Times New Roman"/>
          <w:sz w:val="24"/>
          <w:szCs w:val="24"/>
        </w:rPr>
        <w:t>ва да се отчете, че делото обхваща основно изработката на поръчано</w:t>
      </w:r>
      <w:r w:rsidR="00B4395C">
        <w:rPr>
          <w:rFonts w:ascii="Times New Roman" w:eastAsia="Times New Roman" w:hAnsi="Times New Roman" w:cs="Times New Roman"/>
          <w:sz w:val="24"/>
          <w:szCs w:val="24"/>
        </w:rPr>
        <w:t>то</w:t>
      </w:r>
      <w:r w:rsidRPr="008D624C">
        <w:rPr>
          <w:rFonts w:ascii="Times New Roman" w:eastAsia="Times New Roman" w:hAnsi="Times New Roman" w:cs="Times New Roman"/>
          <w:sz w:val="24"/>
          <w:szCs w:val="24"/>
        </w:rPr>
        <w:t xml:space="preserve"> оборудване и техническия проект, и в незначителна степен въпросите, свързани с площадката, граничната инфраструктура и специфичните изисквания на нормативната база за организация на ядрен проект.</w:t>
      </w:r>
    </w:p>
    <w:p w:rsidR="00F9424A" w:rsidRDefault="00F9424A" w:rsidP="00E44C19">
      <w:pPr>
        <w:spacing w:before="120" w:after="120" w:line="240" w:lineRule="auto"/>
        <w:jc w:val="both"/>
        <w:rPr>
          <w:rFonts w:ascii="Times New Roman" w:eastAsia="Times New Roman" w:hAnsi="Times New Roman" w:cs="Times New Roman"/>
          <w:i/>
          <w:sz w:val="24"/>
          <w:szCs w:val="24"/>
        </w:rPr>
      </w:pPr>
    </w:p>
    <w:p w:rsidR="008D624C" w:rsidRPr="00E44C19" w:rsidRDefault="008D624C" w:rsidP="00E44C19">
      <w:pPr>
        <w:spacing w:before="120" w:after="120" w:line="240" w:lineRule="auto"/>
        <w:jc w:val="both"/>
        <w:rPr>
          <w:rFonts w:ascii="Times New Roman" w:eastAsia="Times New Roman" w:hAnsi="Times New Roman" w:cs="Times New Roman"/>
          <w:sz w:val="24"/>
          <w:szCs w:val="24"/>
          <w:u w:val="single"/>
        </w:rPr>
      </w:pPr>
      <w:r w:rsidRPr="00E44C19">
        <w:rPr>
          <w:rFonts w:ascii="Times New Roman" w:eastAsia="Times New Roman" w:hAnsi="Times New Roman" w:cs="Times New Roman"/>
          <w:sz w:val="24"/>
          <w:szCs w:val="24"/>
          <w:u w:val="single"/>
        </w:rPr>
        <w:t>Изводи за текущото състояние на елементите на проекта</w:t>
      </w:r>
      <w:r w:rsidR="009B34B7" w:rsidRPr="00E44C19">
        <w:rPr>
          <w:rFonts w:ascii="Times New Roman" w:eastAsia="Times New Roman" w:hAnsi="Times New Roman" w:cs="Times New Roman"/>
          <w:sz w:val="24"/>
          <w:szCs w:val="24"/>
          <w:u w:val="single"/>
        </w:rPr>
        <w:t xml:space="preserve"> „Белене”</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След направения преглед може да се заключи следното по отношение на основните елементи на проекта:</w:t>
      </w:r>
    </w:p>
    <w:p w:rsidR="008D624C" w:rsidRPr="008D624C" w:rsidRDefault="009B34B7" w:rsidP="002A32DA">
      <w:pPr>
        <w:numPr>
          <w:ilvl w:val="0"/>
          <w:numId w:val="7"/>
        </w:numPr>
        <w:spacing w:before="120" w:after="12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8D624C" w:rsidRPr="008D624C">
        <w:rPr>
          <w:rFonts w:ascii="Times New Roman" w:eastAsia="Times New Roman" w:hAnsi="Times New Roman" w:cs="Times New Roman"/>
          <w:sz w:val="24"/>
          <w:szCs w:val="24"/>
        </w:rPr>
        <w:t>алични оборудване и компоненти – изработено и доставено основно оборудване за I-ви контур (два комплекта)</w:t>
      </w:r>
      <w:r>
        <w:rPr>
          <w:rFonts w:ascii="Times New Roman" w:eastAsia="Times New Roman" w:hAnsi="Times New Roman" w:cs="Times New Roman"/>
          <w:sz w:val="24"/>
          <w:szCs w:val="24"/>
        </w:rPr>
        <w:t>;</w:t>
      </w:r>
    </w:p>
    <w:p w:rsidR="008D624C" w:rsidRPr="008D624C" w:rsidRDefault="009B34B7" w:rsidP="002A32DA">
      <w:pPr>
        <w:numPr>
          <w:ilvl w:val="0"/>
          <w:numId w:val="7"/>
        </w:numPr>
        <w:spacing w:before="120" w:after="12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D624C" w:rsidRPr="008D624C">
        <w:rPr>
          <w:rFonts w:ascii="Times New Roman" w:eastAsia="Times New Roman" w:hAnsi="Times New Roman" w:cs="Times New Roman"/>
          <w:sz w:val="24"/>
          <w:szCs w:val="24"/>
        </w:rPr>
        <w:t xml:space="preserve">ъстояние на площадката – извършени разрушителни работи за отстраняване на ненужни конструкции, предадени от НЕК ЕАД на ЗАО АСЕ обекти на площадката на АЕЦ </w:t>
      </w:r>
      <w:r>
        <w:rPr>
          <w:rFonts w:ascii="Times New Roman" w:eastAsia="Times New Roman" w:hAnsi="Times New Roman" w:cs="Times New Roman"/>
          <w:sz w:val="24"/>
          <w:szCs w:val="24"/>
        </w:rPr>
        <w:t>„</w:t>
      </w:r>
      <w:r w:rsidR="008D624C" w:rsidRPr="008D624C">
        <w:rPr>
          <w:rFonts w:ascii="Times New Roman" w:eastAsia="Times New Roman" w:hAnsi="Times New Roman" w:cs="Times New Roman"/>
          <w:sz w:val="24"/>
          <w:szCs w:val="24"/>
        </w:rPr>
        <w:t>Белене</w:t>
      </w:r>
      <w:r>
        <w:rPr>
          <w:rFonts w:ascii="Times New Roman" w:eastAsia="Times New Roman" w:hAnsi="Times New Roman" w:cs="Times New Roman"/>
          <w:sz w:val="24"/>
          <w:szCs w:val="24"/>
        </w:rPr>
        <w:t>”</w:t>
      </w:r>
      <w:r w:rsidR="008D624C" w:rsidRPr="008D624C">
        <w:rPr>
          <w:rFonts w:ascii="Times New Roman" w:eastAsia="Times New Roman" w:hAnsi="Times New Roman" w:cs="Times New Roman"/>
          <w:sz w:val="24"/>
          <w:szCs w:val="24"/>
        </w:rPr>
        <w:t xml:space="preserve"> и започнати строителни работи на спомагателни обекти;</w:t>
      </w:r>
    </w:p>
    <w:p w:rsidR="008D624C" w:rsidRPr="008D624C" w:rsidRDefault="009B34B7" w:rsidP="002A32DA">
      <w:pPr>
        <w:numPr>
          <w:ilvl w:val="0"/>
          <w:numId w:val="7"/>
        </w:numPr>
        <w:spacing w:before="120" w:after="12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8D624C" w:rsidRPr="008D624C">
        <w:rPr>
          <w:rFonts w:ascii="Times New Roman" w:eastAsia="Times New Roman" w:hAnsi="Times New Roman" w:cs="Times New Roman"/>
          <w:sz w:val="24"/>
          <w:szCs w:val="24"/>
        </w:rPr>
        <w:t>иво на проектна готовност – изготвен технически проект и предаден за одобрение от АЯР, изготвени препоръки за корекции;</w:t>
      </w:r>
    </w:p>
    <w:p w:rsidR="008D624C" w:rsidRPr="008D624C" w:rsidRDefault="009B34B7" w:rsidP="002A32DA">
      <w:pPr>
        <w:numPr>
          <w:ilvl w:val="0"/>
          <w:numId w:val="7"/>
        </w:numPr>
        <w:spacing w:before="120" w:after="12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8D624C" w:rsidRPr="008D624C">
        <w:rPr>
          <w:rFonts w:ascii="Times New Roman" w:eastAsia="Times New Roman" w:hAnsi="Times New Roman" w:cs="Times New Roman"/>
          <w:sz w:val="24"/>
          <w:szCs w:val="24"/>
        </w:rPr>
        <w:t>здадени решения и разрешения по проекта – валидни решения и разрешения по смисъла на ЗБИЯЕ, ЗОСВ и ЗУТ;</w:t>
      </w:r>
    </w:p>
    <w:p w:rsidR="008D624C" w:rsidRPr="008D624C" w:rsidRDefault="009B34B7" w:rsidP="002A32DA">
      <w:pPr>
        <w:numPr>
          <w:ilvl w:val="0"/>
          <w:numId w:val="7"/>
        </w:numPr>
        <w:spacing w:before="120" w:after="12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w:t>
      </w:r>
      <w:r w:rsidR="008D624C" w:rsidRPr="008D624C">
        <w:rPr>
          <w:rFonts w:ascii="Times New Roman" w:eastAsia="Times New Roman" w:hAnsi="Times New Roman" w:cs="Times New Roman"/>
          <w:sz w:val="24"/>
          <w:szCs w:val="24"/>
        </w:rPr>
        <w:t>рганизационна структура за управление на проекта – липсва специализирана структура, която да е заета с проекта.</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Логическата последователност на работите при евентуално подновяване на проекта </w:t>
      </w:r>
      <w:r w:rsidR="009B34B7">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Белене</w:t>
      </w:r>
      <w:r w:rsidR="009B34B7">
        <w:rPr>
          <w:rFonts w:ascii="Times New Roman" w:eastAsia="Times New Roman" w:hAnsi="Times New Roman" w:cs="Times New Roman"/>
          <w:sz w:val="24"/>
          <w:szCs w:val="24"/>
        </w:rPr>
        <w:t>”тряб</w:t>
      </w:r>
      <w:r w:rsidRPr="008D624C">
        <w:rPr>
          <w:rFonts w:ascii="Times New Roman" w:eastAsia="Times New Roman" w:hAnsi="Times New Roman" w:cs="Times New Roman"/>
          <w:sz w:val="24"/>
          <w:szCs w:val="24"/>
        </w:rPr>
        <w:t xml:space="preserve">ва да започне от актуализация на проекта с оглед </w:t>
      </w:r>
      <w:r w:rsidR="009B34B7">
        <w:rPr>
          <w:rFonts w:ascii="Times New Roman" w:eastAsia="Times New Roman" w:hAnsi="Times New Roman" w:cs="Times New Roman"/>
          <w:sz w:val="24"/>
          <w:szCs w:val="24"/>
        </w:rPr>
        <w:t xml:space="preserve">на </w:t>
      </w:r>
      <w:r w:rsidRPr="008D624C">
        <w:rPr>
          <w:rFonts w:ascii="Times New Roman" w:eastAsia="Times New Roman" w:hAnsi="Times New Roman" w:cs="Times New Roman"/>
          <w:sz w:val="24"/>
          <w:szCs w:val="24"/>
        </w:rPr>
        <w:t>изискванията на АЯР, но и новите изисквания на Еврокод. Актуализацията на проекта може да стане след сключване на нов договор със ЗАО Атомстройекспорт или друг приемник от групата компании на Росатом, и съответна мобилизация на екип по проекта.</w:t>
      </w:r>
    </w:p>
    <w:p w:rsidR="008D624C" w:rsidRPr="008D624C" w:rsidRDefault="009B34B7"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Н</w:t>
      </w:r>
      <w:r w:rsidR="008D624C" w:rsidRPr="008D624C">
        <w:rPr>
          <w:rFonts w:ascii="Times New Roman" w:eastAsia="Times New Roman" w:hAnsi="Times New Roman" w:cs="Times New Roman"/>
          <w:sz w:val="24"/>
          <w:szCs w:val="24"/>
        </w:rPr>
        <w:t>еобходими</w:t>
      </w:r>
      <w:r>
        <w:rPr>
          <w:rFonts w:ascii="Times New Roman" w:eastAsia="Times New Roman" w:hAnsi="Times New Roman" w:cs="Times New Roman"/>
          <w:sz w:val="24"/>
          <w:szCs w:val="24"/>
        </w:rPr>
        <w:t xml:space="preserve"> са и</w:t>
      </w:r>
      <w:r w:rsidR="008D624C" w:rsidRPr="008D624C">
        <w:rPr>
          <w:rFonts w:ascii="Times New Roman" w:eastAsia="Times New Roman" w:hAnsi="Times New Roman" w:cs="Times New Roman"/>
          <w:sz w:val="24"/>
          <w:szCs w:val="24"/>
        </w:rPr>
        <w:t xml:space="preserve"> усилия за мобилизация на екипи на Възложителя, екипите</w:t>
      </w:r>
      <w:r>
        <w:rPr>
          <w:rFonts w:ascii="Times New Roman" w:eastAsia="Times New Roman" w:hAnsi="Times New Roman" w:cs="Times New Roman"/>
          <w:sz w:val="24"/>
          <w:szCs w:val="24"/>
        </w:rPr>
        <w:t>,</w:t>
      </w:r>
      <w:r w:rsidR="008D624C" w:rsidRPr="008D624C">
        <w:rPr>
          <w:rFonts w:ascii="Times New Roman" w:eastAsia="Times New Roman" w:hAnsi="Times New Roman" w:cs="Times New Roman"/>
          <w:sz w:val="24"/>
          <w:szCs w:val="24"/>
        </w:rPr>
        <w:t xml:space="preserve"> осигуряващи инженерна поддръжка и независим строителен надзор.</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p>
    <w:p w:rsidR="008D624C" w:rsidRPr="008D624C" w:rsidRDefault="008D624C" w:rsidP="002A32DA">
      <w:pPr>
        <w:pStyle w:val="Heading2"/>
        <w:numPr>
          <w:ilvl w:val="1"/>
          <w:numId w:val="1"/>
        </w:numPr>
        <w:spacing w:before="120" w:after="120" w:line="240" w:lineRule="auto"/>
        <w:ind w:left="426" w:hanging="426"/>
        <w:jc w:val="both"/>
        <w:rPr>
          <w:rFonts w:ascii="Times New Roman" w:hAnsi="Times New Roman" w:cs="Times New Roman"/>
          <w:b w:val="0"/>
          <w:i/>
          <w:color w:val="auto"/>
          <w:sz w:val="24"/>
          <w:szCs w:val="24"/>
        </w:rPr>
      </w:pPr>
      <w:bookmarkStart w:id="11" w:name="_Toc491680780"/>
      <w:bookmarkStart w:id="12" w:name="_Toc492991242"/>
      <w:bookmarkStart w:id="13" w:name="_Toc492991302"/>
      <w:bookmarkStart w:id="14" w:name="_Toc492991325"/>
      <w:r w:rsidRPr="008D624C">
        <w:rPr>
          <w:rFonts w:ascii="Times New Roman" w:hAnsi="Times New Roman" w:cs="Times New Roman"/>
          <w:b w:val="0"/>
          <w:i/>
          <w:color w:val="auto"/>
          <w:sz w:val="24"/>
          <w:szCs w:val="24"/>
        </w:rPr>
        <w:t>Поддейност V.1.2. Настоящ енергиен баланс на ниво система/предприятие и прогнози за производство, вътрешно потребление и износ/внос, с цел преценка на необходимостта от изграждане на нова ядрена мощност АЕЦ „Белене“</w:t>
      </w:r>
      <w:bookmarkEnd w:id="11"/>
      <w:bookmarkEnd w:id="12"/>
      <w:bookmarkEnd w:id="13"/>
      <w:bookmarkEnd w:id="14"/>
    </w:p>
    <w:p w:rsidR="00F70602" w:rsidRPr="00F70602" w:rsidRDefault="00693E7B" w:rsidP="0071789D">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Тези въпроси са разгледани детайлно в докладите по Дейности </w:t>
      </w:r>
      <w:r>
        <w:rPr>
          <w:rFonts w:ascii="Times New Roman" w:eastAsia="Times New Roman" w:hAnsi="Times New Roman" w:cs="Times New Roman"/>
          <w:sz w:val="24"/>
          <w:szCs w:val="24"/>
          <w:lang w:val="en-US"/>
        </w:rPr>
        <w:t>II</w:t>
      </w:r>
      <w:r>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lang w:val="en-US"/>
        </w:rPr>
        <w:t xml:space="preserve">III. </w:t>
      </w:r>
      <w:r w:rsidR="00FC129B">
        <w:rPr>
          <w:rFonts w:ascii="Times New Roman" w:eastAsia="Times New Roman" w:hAnsi="Times New Roman" w:cs="Times New Roman"/>
          <w:sz w:val="24"/>
          <w:szCs w:val="24"/>
        </w:rPr>
        <w:t>Тук е дадено много кротко резюме от гледна точка на изпо</w:t>
      </w:r>
      <w:r w:rsidR="00505B2E">
        <w:rPr>
          <w:rFonts w:ascii="Times New Roman" w:eastAsia="Times New Roman" w:hAnsi="Times New Roman" w:cs="Times New Roman"/>
          <w:sz w:val="24"/>
          <w:szCs w:val="24"/>
        </w:rPr>
        <w:t>л</w:t>
      </w:r>
      <w:r w:rsidR="00FC129B">
        <w:rPr>
          <w:rFonts w:ascii="Times New Roman" w:eastAsia="Times New Roman" w:hAnsi="Times New Roman" w:cs="Times New Roman"/>
          <w:sz w:val="24"/>
          <w:szCs w:val="24"/>
        </w:rPr>
        <w:t xml:space="preserve">званата от тези дейности информация в Поддейност </w:t>
      </w:r>
      <w:r w:rsidR="00F625BE">
        <w:rPr>
          <w:rFonts w:ascii="Times New Roman" w:eastAsia="Times New Roman" w:hAnsi="Times New Roman" w:cs="Times New Roman"/>
          <w:sz w:val="24"/>
          <w:szCs w:val="24"/>
        </w:rPr>
        <w:t>V.</w:t>
      </w:r>
      <w:r w:rsidR="00FC129B" w:rsidRPr="00B64A1A">
        <w:rPr>
          <w:rFonts w:ascii="Times New Roman" w:eastAsia="Times New Roman" w:hAnsi="Times New Roman" w:cs="Times New Roman"/>
          <w:sz w:val="24"/>
          <w:szCs w:val="24"/>
        </w:rPr>
        <w:t>2</w:t>
      </w:r>
      <w:r w:rsidR="00FC129B">
        <w:rPr>
          <w:rFonts w:ascii="Times New Roman" w:eastAsia="Times New Roman" w:hAnsi="Times New Roman" w:cs="Times New Roman"/>
          <w:sz w:val="24"/>
          <w:szCs w:val="24"/>
        </w:rPr>
        <w:t xml:space="preserve">. </w:t>
      </w:r>
      <w:r w:rsidR="00F70602" w:rsidRPr="00F70602">
        <w:rPr>
          <w:rFonts w:ascii="Times New Roman" w:eastAsia="Times New Roman" w:hAnsi="Times New Roman" w:cs="Times New Roman"/>
          <w:sz w:val="24"/>
          <w:szCs w:val="24"/>
        </w:rPr>
        <w:t>В рамките на Дейност II се обсъжда потенциала на съществуващите у нас електрогенериращи мощности да задоволяват вътрешното търсене и евентуално</w:t>
      </w:r>
      <w:r w:rsidR="00F70602">
        <w:rPr>
          <w:rFonts w:ascii="Times New Roman" w:eastAsia="Times New Roman" w:hAnsi="Times New Roman" w:cs="Times New Roman"/>
          <w:sz w:val="24"/>
          <w:szCs w:val="24"/>
        </w:rPr>
        <w:t xml:space="preserve"> да продължат да осигуряват еле</w:t>
      </w:r>
      <w:r w:rsidR="00F70602" w:rsidRPr="00F70602">
        <w:rPr>
          <w:rFonts w:ascii="Times New Roman" w:eastAsia="Times New Roman" w:hAnsi="Times New Roman" w:cs="Times New Roman"/>
          <w:sz w:val="24"/>
          <w:szCs w:val="24"/>
        </w:rPr>
        <w:t>ктрическа енергия за износ. В следствие на анализа на хоризонта на работа на съществуващите мощности се прави оценка за необх</w:t>
      </w:r>
      <w:r w:rsidR="00F70602">
        <w:rPr>
          <w:rFonts w:ascii="Times New Roman" w:eastAsia="Times New Roman" w:hAnsi="Times New Roman" w:cs="Times New Roman"/>
          <w:sz w:val="24"/>
          <w:szCs w:val="24"/>
        </w:rPr>
        <w:t>о</w:t>
      </w:r>
      <w:r w:rsidR="00F70602" w:rsidRPr="00F70602">
        <w:rPr>
          <w:rFonts w:ascii="Times New Roman" w:eastAsia="Times New Roman" w:hAnsi="Times New Roman" w:cs="Times New Roman"/>
          <w:sz w:val="24"/>
          <w:szCs w:val="24"/>
        </w:rPr>
        <w:t xml:space="preserve">димостта от нови мощности за задоволяване на вътрешното потребление. </w:t>
      </w:r>
    </w:p>
    <w:p w:rsidR="00F70602" w:rsidRPr="00F70602" w:rsidRDefault="00693E7B" w:rsidP="0071789D">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Този а</w:t>
      </w:r>
      <w:r w:rsidR="00F70602" w:rsidRPr="00F70602">
        <w:rPr>
          <w:rFonts w:ascii="Times New Roman" w:eastAsia="Times New Roman" w:hAnsi="Times New Roman" w:cs="Times New Roman"/>
          <w:sz w:val="24"/>
          <w:szCs w:val="24"/>
        </w:rPr>
        <w:t xml:space="preserve">нализ </w:t>
      </w:r>
      <w:r>
        <w:rPr>
          <w:rFonts w:ascii="Times New Roman" w:eastAsia="Times New Roman" w:hAnsi="Times New Roman" w:cs="Times New Roman"/>
          <w:sz w:val="24"/>
          <w:szCs w:val="24"/>
        </w:rPr>
        <w:t>съдържа</w:t>
      </w:r>
      <w:r w:rsidR="00505B2E">
        <w:rPr>
          <w:rFonts w:ascii="Times New Roman" w:eastAsia="Times New Roman" w:hAnsi="Times New Roman" w:cs="Times New Roman"/>
          <w:sz w:val="24"/>
          <w:szCs w:val="24"/>
        </w:rPr>
        <w:t xml:space="preserve"> </w:t>
      </w:r>
      <w:r w:rsidR="00F70602" w:rsidRPr="00F70602">
        <w:rPr>
          <w:rFonts w:ascii="Times New Roman" w:eastAsia="Times New Roman" w:hAnsi="Times New Roman" w:cs="Times New Roman"/>
          <w:sz w:val="24"/>
          <w:szCs w:val="24"/>
        </w:rPr>
        <w:t>оценка на техническия ресурс на основни</w:t>
      </w:r>
      <w:r>
        <w:rPr>
          <w:rFonts w:ascii="Times New Roman" w:eastAsia="Times New Roman" w:hAnsi="Times New Roman" w:cs="Times New Roman"/>
          <w:sz w:val="24"/>
          <w:szCs w:val="24"/>
        </w:rPr>
        <w:t>те</w:t>
      </w:r>
      <w:r w:rsidR="00F70602" w:rsidRPr="00F70602">
        <w:rPr>
          <w:rFonts w:ascii="Times New Roman" w:eastAsia="Times New Roman" w:hAnsi="Times New Roman" w:cs="Times New Roman"/>
          <w:sz w:val="24"/>
          <w:szCs w:val="24"/>
        </w:rPr>
        <w:t xml:space="preserve"> производствени централи и анализ на диспечирането на мощностите за задоволяване на профила на търсенето. В резултат на анализите и прогнозите са обсъдени три сценария за участие на сега работещите електрогенериращи мощности за задоволяване на вътрешното потребление с хоризонт 2040 година. </w:t>
      </w:r>
    </w:p>
    <w:p w:rsidR="00F70602" w:rsidRPr="00F70602" w:rsidRDefault="00F70602" w:rsidP="0071789D">
      <w:pPr>
        <w:spacing w:after="120" w:line="240" w:lineRule="auto"/>
        <w:jc w:val="both"/>
        <w:rPr>
          <w:rFonts w:ascii="Times New Roman" w:eastAsia="Times New Roman" w:hAnsi="Times New Roman" w:cs="Times New Roman"/>
          <w:sz w:val="24"/>
          <w:szCs w:val="24"/>
        </w:rPr>
      </w:pPr>
      <w:r w:rsidRPr="00F70602">
        <w:rPr>
          <w:rFonts w:ascii="Times New Roman" w:eastAsia="Times New Roman" w:hAnsi="Times New Roman" w:cs="Times New Roman"/>
          <w:sz w:val="24"/>
          <w:szCs w:val="24"/>
        </w:rPr>
        <w:t>За съпоставяне на икономическите показатели на основните групи централи са развити прогнози за изменение на производствен</w:t>
      </w:r>
      <w:r>
        <w:rPr>
          <w:rFonts w:ascii="Times New Roman" w:eastAsia="Times New Roman" w:hAnsi="Times New Roman" w:cs="Times New Roman"/>
          <w:sz w:val="24"/>
          <w:szCs w:val="24"/>
        </w:rPr>
        <w:t>ите разходи</w:t>
      </w:r>
      <w:r w:rsidRPr="00F70602">
        <w:rPr>
          <w:rFonts w:ascii="Times New Roman" w:eastAsia="Times New Roman" w:hAnsi="Times New Roman" w:cs="Times New Roman"/>
          <w:sz w:val="24"/>
          <w:szCs w:val="24"/>
        </w:rPr>
        <w:t xml:space="preserve">, като са отчитани варианти за изменение на основни ценообразуващи фактори. Този подход „отдолу-нагоре“ позволява да се определи виртуална производствена цена на местния микс от мощности, която се съпоставя с прогнозата за борсовата цена, разработена в Дейност III, която следва </w:t>
      </w:r>
      <w:r>
        <w:rPr>
          <w:rFonts w:ascii="Times New Roman" w:eastAsia="Times New Roman" w:hAnsi="Times New Roman" w:cs="Times New Roman"/>
          <w:sz w:val="24"/>
          <w:szCs w:val="24"/>
        </w:rPr>
        <w:t xml:space="preserve">обратния </w:t>
      </w:r>
      <w:r w:rsidRPr="00F70602">
        <w:rPr>
          <w:rFonts w:ascii="Times New Roman" w:eastAsia="Times New Roman" w:hAnsi="Times New Roman" w:cs="Times New Roman"/>
          <w:sz w:val="24"/>
          <w:szCs w:val="24"/>
        </w:rPr>
        <w:t>подход „отгоре-надолу“.</w:t>
      </w:r>
    </w:p>
    <w:p w:rsidR="00F70602" w:rsidRPr="00F70602" w:rsidRDefault="00F70602" w:rsidP="0071789D">
      <w:pPr>
        <w:spacing w:after="120" w:line="240" w:lineRule="auto"/>
        <w:jc w:val="both"/>
        <w:rPr>
          <w:rFonts w:ascii="Times New Roman" w:eastAsia="Times New Roman" w:hAnsi="Times New Roman" w:cs="Times New Roman"/>
          <w:sz w:val="24"/>
          <w:szCs w:val="24"/>
        </w:rPr>
      </w:pPr>
      <w:r w:rsidRPr="00F70602">
        <w:rPr>
          <w:rFonts w:ascii="Times New Roman" w:eastAsia="Times New Roman" w:hAnsi="Times New Roman" w:cs="Times New Roman"/>
          <w:sz w:val="24"/>
          <w:szCs w:val="24"/>
        </w:rPr>
        <w:t xml:space="preserve">В рамките на Дейност III се прави цялостен и задълбочен анализ на развитието и прогнозите на пазарите на електрическа енергия на страните, формиращи регион за износ на </w:t>
      </w:r>
      <w:r w:rsidR="005D0BF5">
        <w:rPr>
          <w:rFonts w:ascii="Times New Roman" w:eastAsia="Times New Roman" w:hAnsi="Times New Roman" w:cs="Times New Roman"/>
          <w:sz w:val="24"/>
          <w:szCs w:val="24"/>
        </w:rPr>
        <w:t>електроенергия</w:t>
      </w:r>
      <w:r w:rsidRPr="00F70602">
        <w:rPr>
          <w:rFonts w:ascii="Times New Roman" w:eastAsia="Times New Roman" w:hAnsi="Times New Roman" w:cs="Times New Roman"/>
          <w:sz w:val="24"/>
          <w:szCs w:val="24"/>
        </w:rPr>
        <w:t xml:space="preserve"> от България. Съставен е модел за прогнозиране на борсовите цени на електрическа енергия.</w:t>
      </w:r>
    </w:p>
    <w:p w:rsidR="00F70602" w:rsidRPr="00F70602" w:rsidRDefault="00F70602" w:rsidP="0071789D">
      <w:pPr>
        <w:spacing w:after="120" w:line="240" w:lineRule="auto"/>
        <w:jc w:val="both"/>
        <w:rPr>
          <w:rFonts w:ascii="Times New Roman" w:eastAsia="Times New Roman" w:hAnsi="Times New Roman" w:cs="Times New Roman"/>
          <w:sz w:val="24"/>
          <w:szCs w:val="24"/>
        </w:rPr>
      </w:pPr>
      <w:r w:rsidRPr="00F70602">
        <w:rPr>
          <w:rFonts w:ascii="Times New Roman" w:eastAsia="Times New Roman" w:hAnsi="Times New Roman" w:cs="Times New Roman"/>
          <w:sz w:val="24"/>
          <w:szCs w:val="24"/>
        </w:rPr>
        <w:t>Основната цел е да се направи прогноза за потенциала за износ/внос на електрическа енергия в региона за периода до 2040 г., ка</w:t>
      </w:r>
      <w:r>
        <w:rPr>
          <w:rFonts w:ascii="Times New Roman" w:eastAsia="Times New Roman" w:hAnsi="Times New Roman" w:cs="Times New Roman"/>
          <w:sz w:val="24"/>
          <w:szCs w:val="24"/>
        </w:rPr>
        <w:t>к</w:t>
      </w:r>
      <w:r w:rsidRPr="00F70602">
        <w:rPr>
          <w:rFonts w:ascii="Times New Roman" w:eastAsia="Times New Roman" w:hAnsi="Times New Roman" w:cs="Times New Roman"/>
          <w:sz w:val="24"/>
          <w:szCs w:val="24"/>
        </w:rPr>
        <w:t>то и прогноза за дефицити/излишъци на генериращи мощности в държавите от очертания регион и на тази основа да се оценят дефицитите от електрическа енергия.</w:t>
      </w:r>
    </w:p>
    <w:p w:rsidR="00F70602" w:rsidRPr="00F70602" w:rsidRDefault="00F70602" w:rsidP="0071789D">
      <w:pPr>
        <w:spacing w:after="120" w:line="240" w:lineRule="auto"/>
        <w:jc w:val="both"/>
        <w:rPr>
          <w:rFonts w:ascii="Times New Roman" w:eastAsia="Times New Roman" w:hAnsi="Times New Roman" w:cs="Times New Roman"/>
          <w:sz w:val="24"/>
          <w:szCs w:val="24"/>
        </w:rPr>
      </w:pPr>
      <w:r w:rsidRPr="00F70602">
        <w:rPr>
          <w:rFonts w:ascii="Times New Roman" w:eastAsia="Times New Roman" w:hAnsi="Times New Roman" w:cs="Times New Roman"/>
          <w:sz w:val="24"/>
          <w:szCs w:val="24"/>
        </w:rPr>
        <w:t xml:space="preserve">Също така е </w:t>
      </w:r>
      <w:r w:rsidR="00693E7B">
        <w:rPr>
          <w:rFonts w:ascii="Times New Roman" w:eastAsia="Times New Roman" w:hAnsi="Times New Roman" w:cs="Times New Roman"/>
          <w:sz w:val="24"/>
          <w:szCs w:val="24"/>
        </w:rPr>
        <w:t>разработена</w:t>
      </w:r>
      <w:r w:rsidR="003C18F1">
        <w:rPr>
          <w:rFonts w:ascii="Times New Roman" w:eastAsia="Times New Roman" w:hAnsi="Times New Roman" w:cs="Times New Roman"/>
          <w:sz w:val="24"/>
          <w:szCs w:val="24"/>
        </w:rPr>
        <w:t xml:space="preserve"> </w:t>
      </w:r>
      <w:r w:rsidRPr="00F70602">
        <w:rPr>
          <w:rFonts w:ascii="Times New Roman" w:eastAsia="Times New Roman" w:hAnsi="Times New Roman" w:cs="Times New Roman"/>
          <w:sz w:val="24"/>
          <w:szCs w:val="24"/>
        </w:rPr>
        <w:t>прогноза за развитие на борсов</w:t>
      </w:r>
      <w:r w:rsidR="00693E7B">
        <w:rPr>
          <w:rFonts w:ascii="Times New Roman" w:eastAsia="Times New Roman" w:hAnsi="Times New Roman" w:cs="Times New Roman"/>
          <w:sz w:val="24"/>
          <w:szCs w:val="24"/>
        </w:rPr>
        <w:t>ите</w:t>
      </w:r>
      <w:r w:rsidRPr="00F70602">
        <w:rPr>
          <w:rFonts w:ascii="Times New Roman" w:eastAsia="Times New Roman" w:hAnsi="Times New Roman" w:cs="Times New Roman"/>
          <w:sz w:val="24"/>
          <w:szCs w:val="24"/>
        </w:rPr>
        <w:t xml:space="preserve"> цен</w:t>
      </w:r>
      <w:r w:rsidR="00693E7B">
        <w:rPr>
          <w:rFonts w:ascii="Times New Roman" w:eastAsia="Times New Roman" w:hAnsi="Times New Roman" w:cs="Times New Roman"/>
          <w:sz w:val="24"/>
          <w:szCs w:val="24"/>
        </w:rPr>
        <w:t>и</w:t>
      </w:r>
      <w:r w:rsidRPr="00F70602">
        <w:rPr>
          <w:rFonts w:ascii="Times New Roman" w:eastAsia="Times New Roman" w:hAnsi="Times New Roman" w:cs="Times New Roman"/>
          <w:sz w:val="24"/>
          <w:szCs w:val="24"/>
        </w:rPr>
        <w:t xml:space="preserve"> в България</w:t>
      </w:r>
      <w:r w:rsidR="00693E7B">
        <w:rPr>
          <w:rFonts w:ascii="Times New Roman" w:eastAsia="Times New Roman" w:hAnsi="Times New Roman" w:cs="Times New Roman"/>
          <w:sz w:val="24"/>
          <w:szCs w:val="24"/>
        </w:rPr>
        <w:t xml:space="preserve"> в средно</w:t>
      </w:r>
      <w:r w:rsidR="00037755">
        <w:rPr>
          <w:rFonts w:ascii="Times New Roman" w:eastAsia="Times New Roman" w:hAnsi="Times New Roman" w:cs="Times New Roman"/>
          <w:sz w:val="24"/>
          <w:szCs w:val="24"/>
        </w:rPr>
        <w:t>-</w:t>
      </w:r>
      <w:r w:rsidR="00693E7B">
        <w:rPr>
          <w:rFonts w:ascii="Times New Roman" w:eastAsia="Times New Roman" w:hAnsi="Times New Roman" w:cs="Times New Roman"/>
          <w:sz w:val="24"/>
          <w:szCs w:val="24"/>
        </w:rPr>
        <w:t xml:space="preserve"> и дългосрочен хоризонт.</w:t>
      </w:r>
    </w:p>
    <w:p w:rsidR="00F70602" w:rsidRDefault="00F70602" w:rsidP="0071789D">
      <w:pPr>
        <w:spacing w:after="120" w:line="240" w:lineRule="auto"/>
        <w:jc w:val="both"/>
        <w:rPr>
          <w:rFonts w:ascii="Times New Roman" w:eastAsia="Times New Roman" w:hAnsi="Times New Roman" w:cs="Times New Roman"/>
          <w:sz w:val="24"/>
          <w:szCs w:val="24"/>
        </w:rPr>
      </w:pPr>
      <w:r w:rsidRPr="00F70602">
        <w:rPr>
          <w:rFonts w:ascii="Times New Roman" w:eastAsia="Times New Roman" w:hAnsi="Times New Roman" w:cs="Times New Roman"/>
          <w:sz w:val="24"/>
          <w:szCs w:val="24"/>
        </w:rPr>
        <w:t xml:space="preserve">По отношение на  </w:t>
      </w:r>
      <w:r w:rsidR="00693E7B">
        <w:rPr>
          <w:rFonts w:ascii="Times New Roman" w:eastAsia="Times New Roman" w:hAnsi="Times New Roman" w:cs="Times New Roman"/>
          <w:sz w:val="24"/>
          <w:szCs w:val="24"/>
        </w:rPr>
        <w:t>оценката з</w:t>
      </w:r>
      <w:r w:rsidRPr="00F70602">
        <w:rPr>
          <w:rFonts w:ascii="Times New Roman" w:eastAsia="Times New Roman" w:hAnsi="Times New Roman" w:cs="Times New Roman"/>
          <w:sz w:val="24"/>
          <w:szCs w:val="24"/>
        </w:rPr>
        <w:t xml:space="preserve">а необходимостта от изграждане на нова ядрена мощност </w:t>
      </w:r>
      <w:r w:rsidR="00693E7B">
        <w:rPr>
          <w:rFonts w:ascii="Times New Roman" w:eastAsia="Times New Roman" w:hAnsi="Times New Roman" w:cs="Times New Roman"/>
          <w:sz w:val="24"/>
          <w:szCs w:val="24"/>
        </w:rPr>
        <w:t xml:space="preserve">- </w:t>
      </w:r>
      <w:r w:rsidRPr="00F70602">
        <w:rPr>
          <w:rFonts w:ascii="Times New Roman" w:eastAsia="Times New Roman" w:hAnsi="Times New Roman" w:cs="Times New Roman"/>
          <w:sz w:val="24"/>
          <w:szCs w:val="24"/>
        </w:rPr>
        <w:t>АЕЦ „Белене“</w:t>
      </w:r>
      <w:r w:rsidR="000E5C79">
        <w:rPr>
          <w:rFonts w:ascii="Times New Roman" w:eastAsia="Times New Roman" w:hAnsi="Times New Roman" w:cs="Times New Roman"/>
          <w:sz w:val="24"/>
          <w:szCs w:val="24"/>
        </w:rPr>
        <w:t>,</w:t>
      </w:r>
      <w:r w:rsidRPr="00F70602">
        <w:rPr>
          <w:rFonts w:ascii="Times New Roman" w:eastAsia="Times New Roman" w:hAnsi="Times New Roman" w:cs="Times New Roman"/>
          <w:sz w:val="24"/>
          <w:szCs w:val="24"/>
        </w:rPr>
        <w:t xml:space="preserve"> следните изводи и резултати от дейности II и III </w:t>
      </w:r>
      <w:r w:rsidR="00037755">
        <w:rPr>
          <w:rFonts w:ascii="Times New Roman" w:eastAsia="Times New Roman" w:hAnsi="Times New Roman" w:cs="Times New Roman"/>
          <w:sz w:val="24"/>
          <w:szCs w:val="24"/>
        </w:rPr>
        <w:t xml:space="preserve">представляват </w:t>
      </w:r>
      <w:r w:rsidR="000E5C79">
        <w:rPr>
          <w:rFonts w:ascii="Times New Roman" w:eastAsia="Times New Roman" w:hAnsi="Times New Roman" w:cs="Times New Roman"/>
          <w:sz w:val="24"/>
          <w:szCs w:val="24"/>
        </w:rPr>
        <w:t xml:space="preserve">важна </w:t>
      </w:r>
      <w:r w:rsidR="00037755">
        <w:rPr>
          <w:rFonts w:ascii="Times New Roman" w:eastAsia="Times New Roman" w:hAnsi="Times New Roman" w:cs="Times New Roman"/>
          <w:sz w:val="24"/>
          <w:szCs w:val="24"/>
        </w:rPr>
        <w:t>входна информация</w:t>
      </w:r>
      <w:r w:rsidRPr="00F70602">
        <w:rPr>
          <w:rFonts w:ascii="Times New Roman" w:eastAsia="Times New Roman" w:hAnsi="Times New Roman" w:cs="Times New Roman"/>
          <w:sz w:val="24"/>
          <w:szCs w:val="24"/>
        </w:rPr>
        <w:t>:</w:t>
      </w:r>
    </w:p>
    <w:p w:rsidR="000E5C79" w:rsidRPr="00487E37" w:rsidRDefault="000E5C79" w:rsidP="002A32DA">
      <w:pPr>
        <w:pStyle w:val="ParaAttribute5"/>
        <w:numPr>
          <w:ilvl w:val="0"/>
          <w:numId w:val="31"/>
        </w:numPr>
        <w:spacing w:after="120"/>
        <w:ind w:left="284" w:hanging="284"/>
        <w:jc w:val="both"/>
        <w:rPr>
          <w:rStyle w:val="CharAttribute3"/>
          <w:rFonts w:ascii="Times New Roman"/>
          <w:szCs w:val="24"/>
        </w:rPr>
      </w:pPr>
      <w:r w:rsidRPr="00487E37">
        <w:rPr>
          <w:rStyle w:val="CharAttribute3"/>
          <w:rFonts w:ascii="Times New Roman"/>
          <w:szCs w:val="24"/>
        </w:rPr>
        <w:lastRenderedPageBreak/>
        <w:t xml:space="preserve">От проведените системни анализи </w:t>
      </w:r>
      <w:r>
        <w:rPr>
          <w:rStyle w:val="CharAttribute3"/>
          <w:rFonts w:ascii="Times New Roman"/>
          <w:szCs w:val="24"/>
        </w:rPr>
        <w:t xml:space="preserve">в два от сценариите </w:t>
      </w:r>
      <w:r w:rsidRPr="00487E37">
        <w:rPr>
          <w:rStyle w:val="CharAttribute3"/>
          <w:rFonts w:ascii="Times New Roman"/>
          <w:szCs w:val="24"/>
        </w:rPr>
        <w:t xml:space="preserve">е </w:t>
      </w:r>
      <w:r>
        <w:rPr>
          <w:rStyle w:val="CharAttribute3"/>
          <w:rFonts w:ascii="Times New Roman"/>
          <w:szCs w:val="24"/>
        </w:rPr>
        <w:t>формулирано</w:t>
      </w:r>
      <w:r w:rsidRPr="00487E37">
        <w:rPr>
          <w:rStyle w:val="CharAttribute3"/>
          <w:rFonts w:ascii="Times New Roman"/>
          <w:szCs w:val="24"/>
        </w:rPr>
        <w:t xml:space="preserve"> заключение, че за задоволяване на вътрешното търсене наличните централи са достатъчни</w:t>
      </w:r>
      <w:r>
        <w:rPr>
          <w:rStyle w:val="CharAttribute3"/>
          <w:rFonts w:ascii="Times New Roman"/>
          <w:szCs w:val="24"/>
        </w:rPr>
        <w:t>. При отделните</w:t>
      </w:r>
      <w:r w:rsidRPr="00E43C46">
        <w:rPr>
          <w:rStyle w:val="CharAttribute3"/>
          <w:rFonts w:ascii="Times New Roman"/>
          <w:szCs w:val="24"/>
        </w:rPr>
        <w:t xml:space="preserve"> прогноз</w:t>
      </w:r>
      <w:r>
        <w:rPr>
          <w:rStyle w:val="CharAttribute3"/>
          <w:rFonts w:ascii="Times New Roman"/>
          <w:szCs w:val="24"/>
        </w:rPr>
        <w:t>и</w:t>
      </w:r>
      <w:r w:rsidRPr="00E43C46">
        <w:rPr>
          <w:rStyle w:val="CharAttribute3"/>
          <w:rFonts w:ascii="Times New Roman"/>
          <w:szCs w:val="24"/>
        </w:rPr>
        <w:t xml:space="preserve"> за крайно електропотребление</w:t>
      </w:r>
      <w:r w:rsidR="00505B2E">
        <w:rPr>
          <w:rStyle w:val="CharAttribute3"/>
          <w:rFonts w:ascii="Times New Roman"/>
          <w:szCs w:val="24"/>
        </w:rPr>
        <w:t xml:space="preserve"> </w:t>
      </w:r>
      <w:r w:rsidRPr="00487E37">
        <w:rPr>
          <w:rStyle w:val="CharAttribute3"/>
          <w:rFonts w:ascii="Times New Roman"/>
          <w:szCs w:val="24"/>
        </w:rPr>
        <w:t xml:space="preserve">към 2030 г. от кондензационни ТЕЦ се ползва </w:t>
      </w:r>
      <w:r>
        <w:rPr>
          <w:rStyle w:val="CharAttribute3"/>
          <w:rFonts w:ascii="Times New Roman"/>
          <w:szCs w:val="24"/>
        </w:rPr>
        <w:t xml:space="preserve">от </w:t>
      </w:r>
      <w:r w:rsidRPr="00487E37">
        <w:rPr>
          <w:rStyle w:val="CharAttribute3"/>
          <w:rFonts w:ascii="Times New Roman"/>
          <w:szCs w:val="24"/>
        </w:rPr>
        <w:t>1</w:t>
      </w:r>
      <w:r>
        <w:rPr>
          <w:rStyle w:val="CharAttribute3"/>
          <w:rFonts w:ascii="Times New Roman"/>
          <w:szCs w:val="24"/>
        </w:rPr>
        <w:t>35</w:t>
      </w:r>
      <w:r w:rsidRPr="00487E37">
        <w:rPr>
          <w:rStyle w:val="CharAttribute3"/>
          <w:rFonts w:ascii="Times New Roman"/>
          <w:szCs w:val="24"/>
        </w:rPr>
        <w:t>0</w:t>
      </w:r>
      <w:r>
        <w:rPr>
          <w:rStyle w:val="CharAttribute3"/>
          <w:rFonts w:ascii="Times New Roman"/>
          <w:szCs w:val="24"/>
        </w:rPr>
        <w:t xml:space="preserve"> до 1750</w:t>
      </w:r>
      <w:r w:rsidRPr="00487E37">
        <w:rPr>
          <w:rStyle w:val="CharAttribute3"/>
          <w:rFonts w:ascii="Times New Roman"/>
          <w:szCs w:val="24"/>
        </w:rPr>
        <w:t xml:space="preserve"> MW бруто инсталирана мощност, които осигуряват </w:t>
      </w:r>
      <w:r>
        <w:rPr>
          <w:rStyle w:val="CharAttribute3"/>
          <w:rFonts w:ascii="Times New Roman"/>
          <w:szCs w:val="24"/>
        </w:rPr>
        <w:t>съответно от</w:t>
      </w:r>
      <w:r w:rsidR="00505B2E">
        <w:rPr>
          <w:rStyle w:val="CharAttribute3"/>
          <w:rFonts w:ascii="Times New Roman"/>
          <w:szCs w:val="24"/>
        </w:rPr>
        <w:t xml:space="preserve"> </w:t>
      </w:r>
      <w:r w:rsidR="0071789D">
        <w:rPr>
          <w:rStyle w:val="CharAttribute3"/>
          <w:rFonts w:ascii="Times New Roman"/>
          <w:szCs w:val="24"/>
        </w:rPr>
        <w:t>5</w:t>
      </w:r>
      <w:r w:rsidR="00505B2E">
        <w:rPr>
          <w:rStyle w:val="CharAttribute3"/>
          <w:rFonts w:ascii="Times New Roman"/>
          <w:szCs w:val="24"/>
        </w:rPr>
        <w:t>.</w:t>
      </w:r>
      <w:r>
        <w:rPr>
          <w:rStyle w:val="CharAttribute3"/>
          <w:rFonts w:ascii="Times New Roman"/>
          <w:szCs w:val="24"/>
        </w:rPr>
        <w:t xml:space="preserve">7 до 8 </w:t>
      </w:r>
      <w:r>
        <w:rPr>
          <w:rStyle w:val="CharAttribute3"/>
          <w:rFonts w:ascii="Times New Roman"/>
          <w:szCs w:val="24"/>
          <w:lang w:val="en-GB"/>
        </w:rPr>
        <w:t>TWh</w:t>
      </w:r>
      <w:r w:rsidR="00505B2E">
        <w:rPr>
          <w:rStyle w:val="CharAttribute3"/>
          <w:rFonts w:ascii="Times New Roman"/>
          <w:szCs w:val="24"/>
        </w:rPr>
        <w:t xml:space="preserve"> </w:t>
      </w:r>
      <w:r>
        <w:rPr>
          <w:rStyle w:val="CharAttribute3"/>
          <w:rFonts w:ascii="Times New Roman"/>
          <w:szCs w:val="24"/>
        </w:rPr>
        <w:t>електроенергия</w:t>
      </w:r>
      <w:r w:rsidRPr="00487E37">
        <w:rPr>
          <w:rStyle w:val="CharAttribute3"/>
          <w:rFonts w:ascii="Times New Roman"/>
          <w:szCs w:val="24"/>
        </w:rPr>
        <w:t xml:space="preserve"> за пазара. Неизползваните капацитети за вътрешен пазар следва да предоставят електрическа енергия за износ, за да се постигнат конкурентни икономически показатели от централите на лигнитни въглища.</w:t>
      </w:r>
    </w:p>
    <w:p w:rsidR="000E5C79" w:rsidRDefault="000E5C79" w:rsidP="002A32DA">
      <w:pPr>
        <w:pStyle w:val="ParaAttribute5"/>
        <w:numPr>
          <w:ilvl w:val="0"/>
          <w:numId w:val="31"/>
        </w:numPr>
        <w:spacing w:after="120"/>
        <w:ind w:left="284" w:hanging="284"/>
        <w:jc w:val="both"/>
        <w:rPr>
          <w:rStyle w:val="CharAttribute3"/>
          <w:rFonts w:ascii="Times New Roman"/>
          <w:szCs w:val="24"/>
        </w:rPr>
      </w:pPr>
      <w:r w:rsidRPr="00487E37">
        <w:rPr>
          <w:rStyle w:val="CharAttribute3"/>
          <w:rFonts w:ascii="Times New Roman"/>
          <w:szCs w:val="24"/>
        </w:rPr>
        <w:t xml:space="preserve">При </w:t>
      </w:r>
      <w:r>
        <w:rPr>
          <w:rStyle w:val="CharAttribute3"/>
          <w:rFonts w:ascii="Times New Roman"/>
          <w:szCs w:val="24"/>
        </w:rPr>
        <w:t>песимистичния</w:t>
      </w:r>
      <w:r w:rsidR="00505B2E">
        <w:rPr>
          <w:rStyle w:val="CharAttribute3"/>
          <w:rFonts w:ascii="Times New Roman"/>
          <w:szCs w:val="24"/>
        </w:rPr>
        <w:t xml:space="preserve"> </w:t>
      </w:r>
      <w:r>
        <w:rPr>
          <w:rStyle w:val="CharAttribute3"/>
          <w:rFonts w:ascii="Times New Roman"/>
          <w:szCs w:val="24"/>
        </w:rPr>
        <w:t xml:space="preserve">сценарий за развитие на производствените мощности </w:t>
      </w:r>
      <w:r w:rsidRPr="00487E37">
        <w:rPr>
          <w:rStyle w:val="CharAttribute3"/>
          <w:rFonts w:ascii="Times New Roman"/>
          <w:szCs w:val="24"/>
        </w:rPr>
        <w:t xml:space="preserve">към 2030 г. вътрешното търсене не се задоволява </w:t>
      </w:r>
      <w:r>
        <w:rPr>
          <w:rStyle w:val="CharAttribute3"/>
          <w:rFonts w:ascii="Times New Roman"/>
          <w:szCs w:val="24"/>
        </w:rPr>
        <w:t>изцяло</w:t>
      </w:r>
      <w:r w:rsidRPr="00487E37">
        <w:rPr>
          <w:rStyle w:val="CharAttribute3"/>
          <w:rFonts w:ascii="Times New Roman"/>
          <w:szCs w:val="24"/>
        </w:rPr>
        <w:t xml:space="preserve"> и се налага внос или изграждане на нови мощности. При референтния сценарий тази нужда възниква след 2035 година. При сценариите с недостиг нуждата от нови мощности е основно за маневрени централи</w:t>
      </w:r>
      <w:r>
        <w:rPr>
          <w:rStyle w:val="CharAttribute3"/>
          <w:rFonts w:ascii="Times New Roman"/>
          <w:szCs w:val="24"/>
        </w:rPr>
        <w:t xml:space="preserve"> със следните възможности:</w:t>
      </w:r>
    </w:p>
    <w:p w:rsidR="000E5C79" w:rsidRDefault="000E5C79" w:rsidP="002A32DA">
      <w:pPr>
        <w:pStyle w:val="ParaAttribute5"/>
        <w:numPr>
          <w:ilvl w:val="0"/>
          <w:numId w:val="32"/>
        </w:numPr>
        <w:spacing w:before="120" w:after="120"/>
        <w:ind w:left="567" w:hanging="283"/>
        <w:jc w:val="both"/>
        <w:rPr>
          <w:rStyle w:val="CharAttribute3"/>
          <w:rFonts w:ascii="Times New Roman"/>
          <w:szCs w:val="24"/>
        </w:rPr>
      </w:pPr>
      <w:r>
        <w:rPr>
          <w:rStyle w:val="CharAttribute3"/>
          <w:rFonts w:ascii="Times New Roman"/>
          <w:szCs w:val="24"/>
        </w:rPr>
        <w:t>изменение на натоварването в денонощен и сезонен разрез</w:t>
      </w:r>
      <w:r>
        <w:rPr>
          <w:rStyle w:val="CharAttribute3"/>
          <w:rFonts w:ascii="Times New Roman"/>
          <w:szCs w:val="24"/>
          <w:lang w:val="en-GB"/>
        </w:rPr>
        <w:t>;</w:t>
      </w:r>
    </w:p>
    <w:p w:rsidR="000E5C79" w:rsidRDefault="000E5C79" w:rsidP="002A32DA">
      <w:pPr>
        <w:pStyle w:val="ParaAttribute5"/>
        <w:numPr>
          <w:ilvl w:val="0"/>
          <w:numId w:val="32"/>
        </w:numPr>
        <w:spacing w:before="120" w:after="120"/>
        <w:ind w:left="567" w:hanging="283"/>
        <w:jc w:val="both"/>
        <w:rPr>
          <w:rStyle w:val="CharAttribute3"/>
          <w:rFonts w:ascii="Times New Roman"/>
          <w:szCs w:val="24"/>
        </w:rPr>
      </w:pPr>
      <w:r>
        <w:rPr>
          <w:rStyle w:val="CharAttribute3"/>
          <w:rFonts w:ascii="Times New Roman"/>
          <w:szCs w:val="24"/>
        </w:rPr>
        <w:t>предоставяне на допълнителни услуги (резерви) на оператора на преносната мрежа за гарантиране сигурната работа на ЕЕС.</w:t>
      </w:r>
    </w:p>
    <w:p w:rsidR="000E5C79" w:rsidRPr="00487E37" w:rsidRDefault="000E5C79" w:rsidP="006E7CAF">
      <w:pPr>
        <w:pStyle w:val="ParaAttribute5"/>
        <w:spacing w:after="120"/>
        <w:jc w:val="both"/>
        <w:rPr>
          <w:rStyle w:val="CharAttribute3"/>
          <w:rFonts w:ascii="Times New Roman"/>
          <w:szCs w:val="24"/>
        </w:rPr>
      </w:pPr>
      <w:r>
        <w:rPr>
          <w:rStyle w:val="CharAttribute3"/>
          <w:rFonts w:ascii="Times New Roman"/>
          <w:szCs w:val="24"/>
        </w:rPr>
        <w:t>Б</w:t>
      </w:r>
      <w:r w:rsidRPr="00487E37">
        <w:rPr>
          <w:rStyle w:val="CharAttribute3"/>
          <w:rFonts w:ascii="Times New Roman"/>
          <w:szCs w:val="24"/>
        </w:rPr>
        <w:t>азова мощност с капацитети до 500 MW може да се интегрира за вътрешен пазар, но при наличие на сезонна зависимост от търсенето.</w:t>
      </w:r>
    </w:p>
    <w:p w:rsidR="000E5C79" w:rsidRPr="002A2C05" w:rsidRDefault="000E5C79" w:rsidP="006E7CAF">
      <w:pPr>
        <w:spacing w:after="120" w:line="240" w:lineRule="auto"/>
        <w:jc w:val="both"/>
        <w:rPr>
          <w:rFonts w:ascii="Times New Roman" w:eastAsia="Times New Roman" w:hAnsi="Times New Roman" w:cs="Times New Roman"/>
          <w:sz w:val="24"/>
          <w:szCs w:val="24"/>
        </w:rPr>
      </w:pPr>
      <w:r w:rsidRPr="002A2C05">
        <w:rPr>
          <w:rFonts w:ascii="Times New Roman" w:eastAsia="Times New Roman" w:hAnsi="Times New Roman" w:cs="Times New Roman"/>
          <w:sz w:val="24"/>
          <w:szCs w:val="24"/>
        </w:rPr>
        <w:t xml:space="preserve">В </w:t>
      </w:r>
      <w:r w:rsidR="00526A6C">
        <w:rPr>
          <w:rFonts w:ascii="Times New Roman" w:eastAsia="Times New Roman" w:hAnsi="Times New Roman" w:cs="Times New Roman"/>
          <w:sz w:val="24"/>
          <w:szCs w:val="24"/>
          <w:lang w:val="en-US"/>
        </w:rPr>
        <w:t>T</w:t>
      </w:r>
      <w:r w:rsidRPr="00526A6C">
        <w:rPr>
          <w:rFonts w:ascii="Times New Roman" w:eastAsia="Times New Roman" w:hAnsi="Times New Roman" w:cs="Times New Roman"/>
          <w:sz w:val="24"/>
          <w:szCs w:val="24"/>
        </w:rPr>
        <w:t>аблица</w:t>
      </w:r>
      <w:r w:rsidR="00505B2E">
        <w:rPr>
          <w:rFonts w:ascii="Times New Roman" w:eastAsia="Times New Roman" w:hAnsi="Times New Roman" w:cs="Times New Roman"/>
          <w:sz w:val="24"/>
          <w:szCs w:val="24"/>
        </w:rPr>
        <w:t xml:space="preserve"> </w:t>
      </w:r>
      <w:r w:rsidR="005D0BF5">
        <w:rPr>
          <w:rFonts w:ascii="Times New Roman" w:eastAsia="Times New Roman" w:hAnsi="Times New Roman" w:cs="Times New Roman"/>
          <w:sz w:val="24"/>
          <w:szCs w:val="24"/>
          <w:lang w:val="en-US"/>
        </w:rPr>
        <w:t>V.</w:t>
      </w:r>
      <w:r w:rsidRPr="002A2C05">
        <w:rPr>
          <w:rFonts w:ascii="Times New Roman" w:eastAsia="Times New Roman" w:hAnsi="Times New Roman" w:cs="Times New Roman"/>
          <w:sz w:val="24"/>
          <w:szCs w:val="24"/>
        </w:rPr>
        <w:t>1 са показани резултатите от прогнозиране на производствени цени при подхода „отдолу-нагоре“</w:t>
      </w:r>
      <w:r w:rsidRPr="002A2C05">
        <w:rPr>
          <w:rFonts w:ascii="Times New Roman" w:eastAsia="Times New Roman" w:hAnsi="Times New Roman" w:cs="Times New Roman"/>
          <w:sz w:val="24"/>
          <w:szCs w:val="24"/>
          <w:lang w:val="en-US"/>
        </w:rPr>
        <w:t xml:space="preserve">, </w:t>
      </w:r>
      <w:r w:rsidRPr="002A2C05">
        <w:rPr>
          <w:rFonts w:ascii="Times New Roman" w:eastAsia="Times New Roman" w:hAnsi="Times New Roman" w:cs="Times New Roman"/>
          <w:sz w:val="24"/>
          <w:szCs w:val="24"/>
        </w:rPr>
        <w:t xml:space="preserve">които показват, че основните ни производствени мощности запазват своята конкурентност във времето, но работата на ТЕЦ на лигнитни въглища </w:t>
      </w:r>
      <w:r w:rsidR="001A1D91">
        <w:rPr>
          <w:rFonts w:ascii="Times New Roman" w:eastAsia="Times New Roman" w:hAnsi="Times New Roman" w:cs="Times New Roman"/>
          <w:sz w:val="24"/>
          <w:szCs w:val="24"/>
        </w:rPr>
        <w:t xml:space="preserve">ще </w:t>
      </w:r>
      <w:r w:rsidRPr="002A2C05">
        <w:rPr>
          <w:rFonts w:ascii="Times New Roman" w:eastAsia="Times New Roman" w:hAnsi="Times New Roman" w:cs="Times New Roman"/>
          <w:sz w:val="24"/>
          <w:szCs w:val="24"/>
        </w:rPr>
        <w:t>зависи все по-силно от външни фактори, което определя широк диапазон на прогноза за производствена себестойност.</w:t>
      </w:r>
    </w:p>
    <w:p w:rsidR="000E5C79" w:rsidRPr="00C4220F" w:rsidRDefault="00F74704" w:rsidP="00C4220F">
      <w:pPr>
        <w:pStyle w:val="Caption"/>
        <w:rPr>
          <w:rFonts w:ascii="Times New Roman" w:hAnsi="Times New Roman"/>
          <w:szCs w:val="24"/>
          <w:lang w:val="en-US"/>
        </w:rPr>
      </w:pPr>
      <w:bookmarkStart w:id="15" w:name="_Toc493240897"/>
      <w:r w:rsidRPr="00C4220F">
        <w:rPr>
          <w:rFonts w:ascii="Times New Roman" w:hAnsi="Times New Roman"/>
        </w:rPr>
        <w:t>Таблица V.</w:t>
      </w:r>
      <w:r w:rsidR="0097530B" w:rsidRPr="00C4220F">
        <w:rPr>
          <w:rFonts w:ascii="Times New Roman" w:hAnsi="Times New Roman"/>
        </w:rPr>
        <w:fldChar w:fldCharType="begin"/>
      </w:r>
      <w:r w:rsidR="00042F89" w:rsidRPr="00C4220F">
        <w:rPr>
          <w:rFonts w:ascii="Times New Roman" w:hAnsi="Times New Roman"/>
        </w:rPr>
        <w:instrText xml:space="preserve"> SEQ Таблица_V. \* ARABIC </w:instrText>
      </w:r>
      <w:r w:rsidR="0097530B" w:rsidRPr="00C4220F">
        <w:rPr>
          <w:rFonts w:ascii="Times New Roman" w:hAnsi="Times New Roman"/>
        </w:rPr>
        <w:fldChar w:fldCharType="separate"/>
      </w:r>
      <w:r w:rsidR="00F44EBF">
        <w:rPr>
          <w:rFonts w:ascii="Times New Roman" w:hAnsi="Times New Roman"/>
          <w:noProof/>
        </w:rPr>
        <w:t>1</w:t>
      </w:r>
      <w:r w:rsidR="0097530B" w:rsidRPr="00C4220F">
        <w:rPr>
          <w:rFonts w:ascii="Times New Roman" w:hAnsi="Times New Roman"/>
          <w:noProof/>
        </w:rPr>
        <w:fldChar w:fldCharType="end"/>
      </w:r>
      <w:r w:rsidR="00C4220F">
        <w:rPr>
          <w:rFonts w:ascii="Times New Roman" w:hAnsi="Times New Roman"/>
          <w:noProof/>
        </w:rPr>
        <w:t>.</w:t>
      </w:r>
      <w:r w:rsidR="00C4220F" w:rsidRPr="00C4220F">
        <w:rPr>
          <w:rFonts w:ascii="Times New Roman" w:hAnsi="Times New Roman"/>
          <w:noProof/>
        </w:rPr>
        <w:t xml:space="preserve"> </w:t>
      </w:r>
      <w:r w:rsidR="000E5C79" w:rsidRPr="00C4220F">
        <w:rPr>
          <w:rFonts w:ascii="Times New Roman" w:hAnsi="Times New Roman"/>
          <w:szCs w:val="24"/>
        </w:rPr>
        <w:t>Прогнози за производствен</w:t>
      </w:r>
      <w:r w:rsidR="00B4395C" w:rsidRPr="00C4220F">
        <w:rPr>
          <w:rFonts w:ascii="Times New Roman" w:hAnsi="Times New Roman"/>
          <w:szCs w:val="24"/>
        </w:rPr>
        <w:t>ите</w:t>
      </w:r>
      <w:r w:rsidR="00505B2E">
        <w:rPr>
          <w:rFonts w:ascii="Times New Roman" w:hAnsi="Times New Roman"/>
          <w:szCs w:val="24"/>
        </w:rPr>
        <w:t xml:space="preserve"> </w:t>
      </w:r>
      <w:r w:rsidR="00B4395C" w:rsidRPr="00C4220F">
        <w:rPr>
          <w:rFonts w:ascii="Times New Roman" w:hAnsi="Times New Roman"/>
          <w:szCs w:val="24"/>
        </w:rPr>
        <w:t>разходи</w:t>
      </w:r>
      <w:r w:rsidR="000E5C79" w:rsidRPr="00C4220F">
        <w:rPr>
          <w:rFonts w:ascii="Times New Roman" w:hAnsi="Times New Roman"/>
          <w:szCs w:val="24"/>
        </w:rPr>
        <w:t xml:space="preserve"> по групи централи на българския пазар, лева за </w:t>
      </w:r>
      <w:r w:rsidR="000E5C79" w:rsidRPr="00C4220F">
        <w:rPr>
          <w:rFonts w:ascii="Times New Roman" w:hAnsi="Times New Roman"/>
          <w:szCs w:val="24"/>
          <w:lang w:val="en-GB"/>
        </w:rPr>
        <w:t>MWh</w:t>
      </w:r>
      <w:bookmarkEnd w:id="15"/>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43"/>
        <w:gridCol w:w="929"/>
        <w:gridCol w:w="776"/>
        <w:gridCol w:w="1033"/>
        <w:gridCol w:w="931"/>
        <w:gridCol w:w="1093"/>
        <w:gridCol w:w="1037"/>
        <w:gridCol w:w="914"/>
        <w:gridCol w:w="914"/>
        <w:gridCol w:w="718"/>
      </w:tblGrid>
      <w:tr w:rsidR="00EB6E16" w:rsidRPr="006E7CAF" w:rsidTr="006E7CAF">
        <w:trPr>
          <w:jc w:val="center"/>
        </w:trPr>
        <w:tc>
          <w:tcPr>
            <w:tcW w:w="843" w:type="dxa"/>
            <w:vMerge w:val="restart"/>
            <w:tcBorders>
              <w:top w:val="single" w:sz="12" w:space="0" w:color="auto"/>
              <w:right w:val="single" w:sz="12" w:space="0" w:color="auto"/>
            </w:tcBorders>
          </w:tcPr>
          <w:p w:rsidR="00EB6E16" w:rsidRPr="006E7CAF" w:rsidRDefault="00EB6E16" w:rsidP="00526A6C">
            <w:pPr>
              <w:jc w:val="center"/>
              <w:rPr>
                <w:rFonts w:ascii="Times New Roman" w:hAnsi="Times New Roman" w:cs="Times New Roman"/>
                <w:sz w:val="20"/>
                <w:szCs w:val="20"/>
              </w:rPr>
            </w:pPr>
            <w:r w:rsidRPr="006E7CAF">
              <w:rPr>
                <w:rFonts w:ascii="Times New Roman" w:hAnsi="Times New Roman" w:cs="Times New Roman"/>
                <w:sz w:val="20"/>
                <w:szCs w:val="20"/>
              </w:rPr>
              <w:t>Година</w:t>
            </w:r>
          </w:p>
        </w:tc>
        <w:tc>
          <w:tcPr>
            <w:tcW w:w="8219" w:type="dxa"/>
            <w:gridSpan w:val="9"/>
            <w:tcBorders>
              <w:left w:val="single" w:sz="12" w:space="0" w:color="auto"/>
            </w:tcBorders>
          </w:tcPr>
          <w:p w:rsidR="00EB6E16" w:rsidRPr="006E7CAF" w:rsidRDefault="00EB6E16" w:rsidP="00526A6C">
            <w:pPr>
              <w:jc w:val="center"/>
              <w:rPr>
                <w:rFonts w:ascii="Times New Roman" w:hAnsi="Times New Roman" w:cs="Times New Roman"/>
                <w:sz w:val="20"/>
                <w:szCs w:val="20"/>
              </w:rPr>
            </w:pPr>
            <w:r w:rsidRPr="006E7CAF">
              <w:rPr>
                <w:rFonts w:ascii="Times New Roman" w:hAnsi="Times New Roman" w:cs="Times New Roman"/>
                <w:sz w:val="20"/>
                <w:szCs w:val="20"/>
              </w:rPr>
              <w:t>Енергийни източници</w:t>
            </w:r>
          </w:p>
        </w:tc>
      </w:tr>
      <w:tr w:rsidR="00EB6E16" w:rsidRPr="006E7CAF" w:rsidTr="006E7CAF">
        <w:trPr>
          <w:jc w:val="center"/>
        </w:trPr>
        <w:tc>
          <w:tcPr>
            <w:tcW w:w="843" w:type="dxa"/>
            <w:vMerge/>
            <w:tcBorders>
              <w:bottom w:val="single" w:sz="12" w:space="0" w:color="auto"/>
              <w:right w:val="single" w:sz="12" w:space="0" w:color="auto"/>
            </w:tcBorders>
          </w:tcPr>
          <w:p w:rsidR="00EB6E16" w:rsidRPr="006E7CAF" w:rsidRDefault="00EB6E16" w:rsidP="00526A6C">
            <w:pPr>
              <w:jc w:val="center"/>
              <w:rPr>
                <w:rFonts w:ascii="Times New Roman" w:hAnsi="Times New Roman" w:cs="Times New Roman"/>
                <w:sz w:val="20"/>
                <w:szCs w:val="20"/>
              </w:rPr>
            </w:pPr>
          </w:p>
        </w:tc>
        <w:tc>
          <w:tcPr>
            <w:tcW w:w="921" w:type="dxa"/>
            <w:tcBorders>
              <w:left w:val="single" w:sz="12" w:space="0" w:color="auto"/>
              <w:bottom w:val="single" w:sz="12" w:space="0" w:color="auto"/>
            </w:tcBorders>
          </w:tcPr>
          <w:p w:rsidR="00EB6E16" w:rsidRPr="006E7CAF" w:rsidRDefault="00EB6E16" w:rsidP="00526A6C">
            <w:pPr>
              <w:jc w:val="center"/>
              <w:rPr>
                <w:rFonts w:ascii="Times New Roman" w:hAnsi="Times New Roman" w:cs="Times New Roman"/>
                <w:sz w:val="20"/>
                <w:szCs w:val="20"/>
              </w:rPr>
            </w:pPr>
            <w:r w:rsidRPr="006E7CAF">
              <w:rPr>
                <w:rFonts w:ascii="Times New Roman" w:hAnsi="Times New Roman" w:cs="Times New Roman"/>
                <w:sz w:val="20"/>
                <w:szCs w:val="20"/>
              </w:rPr>
              <w:t>Вятърна</w:t>
            </w:r>
          </w:p>
        </w:tc>
        <w:tc>
          <w:tcPr>
            <w:tcW w:w="776" w:type="dxa"/>
            <w:tcBorders>
              <w:bottom w:val="single" w:sz="12" w:space="0" w:color="auto"/>
            </w:tcBorders>
          </w:tcPr>
          <w:p w:rsidR="00EB6E16" w:rsidRPr="006E7CAF" w:rsidRDefault="00EB6E16" w:rsidP="00526A6C">
            <w:pPr>
              <w:jc w:val="center"/>
              <w:rPr>
                <w:rFonts w:ascii="Times New Roman" w:hAnsi="Times New Roman" w:cs="Times New Roman"/>
                <w:sz w:val="20"/>
                <w:szCs w:val="20"/>
              </w:rPr>
            </w:pPr>
            <w:r w:rsidRPr="006E7CAF">
              <w:rPr>
                <w:rFonts w:ascii="Times New Roman" w:hAnsi="Times New Roman" w:cs="Times New Roman"/>
                <w:sz w:val="20"/>
                <w:szCs w:val="20"/>
              </w:rPr>
              <w:t>Водна</w:t>
            </w:r>
          </w:p>
        </w:tc>
        <w:tc>
          <w:tcPr>
            <w:tcW w:w="1025" w:type="dxa"/>
            <w:tcBorders>
              <w:bottom w:val="single" w:sz="12" w:space="0" w:color="auto"/>
            </w:tcBorders>
          </w:tcPr>
          <w:p w:rsidR="00EB6E16" w:rsidRPr="006E7CAF" w:rsidRDefault="00EB6E16" w:rsidP="00526A6C">
            <w:pPr>
              <w:jc w:val="center"/>
              <w:rPr>
                <w:rFonts w:ascii="Times New Roman" w:hAnsi="Times New Roman" w:cs="Times New Roman"/>
                <w:sz w:val="20"/>
                <w:szCs w:val="20"/>
              </w:rPr>
            </w:pPr>
            <w:r w:rsidRPr="006E7CAF">
              <w:rPr>
                <w:rFonts w:ascii="Times New Roman" w:hAnsi="Times New Roman" w:cs="Times New Roman"/>
                <w:sz w:val="20"/>
                <w:szCs w:val="20"/>
              </w:rPr>
              <w:t>Слънчева</w:t>
            </w:r>
          </w:p>
        </w:tc>
        <w:tc>
          <w:tcPr>
            <w:tcW w:w="915" w:type="dxa"/>
            <w:tcBorders>
              <w:bottom w:val="single" w:sz="12" w:space="0" w:color="auto"/>
            </w:tcBorders>
          </w:tcPr>
          <w:p w:rsidR="00EB6E16" w:rsidRPr="006E7CAF" w:rsidRDefault="00EB6E16" w:rsidP="00526A6C">
            <w:pPr>
              <w:jc w:val="center"/>
              <w:rPr>
                <w:rFonts w:ascii="Times New Roman" w:hAnsi="Times New Roman" w:cs="Times New Roman"/>
                <w:sz w:val="20"/>
                <w:szCs w:val="20"/>
              </w:rPr>
            </w:pPr>
            <w:r w:rsidRPr="006E7CAF">
              <w:rPr>
                <w:rFonts w:ascii="Times New Roman" w:hAnsi="Times New Roman" w:cs="Times New Roman"/>
                <w:sz w:val="20"/>
                <w:szCs w:val="20"/>
              </w:rPr>
              <w:t>Биомаса и газ</w:t>
            </w:r>
          </w:p>
        </w:tc>
        <w:tc>
          <w:tcPr>
            <w:tcW w:w="1063" w:type="dxa"/>
            <w:tcBorders>
              <w:bottom w:val="single" w:sz="12" w:space="0" w:color="auto"/>
            </w:tcBorders>
          </w:tcPr>
          <w:p w:rsidR="00EB6E16" w:rsidRPr="006E7CAF" w:rsidRDefault="00EB6E16" w:rsidP="00526A6C">
            <w:pPr>
              <w:jc w:val="center"/>
              <w:rPr>
                <w:rFonts w:ascii="Times New Roman" w:hAnsi="Times New Roman" w:cs="Times New Roman"/>
                <w:sz w:val="20"/>
                <w:szCs w:val="20"/>
              </w:rPr>
            </w:pPr>
            <w:r w:rsidRPr="006E7CAF">
              <w:rPr>
                <w:rFonts w:ascii="Times New Roman" w:hAnsi="Times New Roman" w:cs="Times New Roman"/>
                <w:sz w:val="20"/>
                <w:szCs w:val="20"/>
              </w:rPr>
              <w:t>Ко-генерации</w:t>
            </w:r>
          </w:p>
        </w:tc>
        <w:tc>
          <w:tcPr>
            <w:tcW w:w="985" w:type="dxa"/>
            <w:tcBorders>
              <w:bottom w:val="single" w:sz="12" w:space="0" w:color="auto"/>
            </w:tcBorders>
          </w:tcPr>
          <w:p w:rsidR="00EB6E16" w:rsidRPr="006E7CAF" w:rsidRDefault="00EB6E16" w:rsidP="00526A6C">
            <w:pPr>
              <w:jc w:val="center"/>
              <w:rPr>
                <w:rFonts w:ascii="Times New Roman" w:hAnsi="Times New Roman" w:cs="Times New Roman"/>
                <w:sz w:val="20"/>
                <w:szCs w:val="20"/>
              </w:rPr>
            </w:pPr>
            <w:r w:rsidRPr="006E7CAF">
              <w:rPr>
                <w:rFonts w:ascii="Times New Roman" w:hAnsi="Times New Roman" w:cs="Times New Roman"/>
                <w:sz w:val="20"/>
                <w:szCs w:val="20"/>
              </w:rPr>
              <w:t>АЕЦ Козлодуй</w:t>
            </w:r>
          </w:p>
        </w:tc>
        <w:tc>
          <w:tcPr>
            <w:tcW w:w="908" w:type="dxa"/>
            <w:tcBorders>
              <w:bottom w:val="single" w:sz="12" w:space="0" w:color="auto"/>
            </w:tcBorders>
          </w:tcPr>
          <w:p w:rsidR="00EB6E16" w:rsidRPr="006E7CAF" w:rsidRDefault="00EB6E16" w:rsidP="00526A6C">
            <w:pPr>
              <w:jc w:val="center"/>
              <w:rPr>
                <w:rFonts w:ascii="Times New Roman" w:hAnsi="Times New Roman" w:cs="Times New Roman"/>
                <w:sz w:val="20"/>
                <w:szCs w:val="20"/>
              </w:rPr>
            </w:pPr>
            <w:r w:rsidRPr="006E7CAF">
              <w:rPr>
                <w:rFonts w:ascii="Times New Roman" w:hAnsi="Times New Roman" w:cs="Times New Roman"/>
                <w:sz w:val="20"/>
                <w:szCs w:val="20"/>
              </w:rPr>
              <w:t>ТЕЦ лигнити и, мин.</w:t>
            </w:r>
          </w:p>
        </w:tc>
        <w:tc>
          <w:tcPr>
            <w:tcW w:w="908" w:type="dxa"/>
            <w:tcBorders>
              <w:bottom w:val="single" w:sz="12" w:space="0" w:color="auto"/>
            </w:tcBorders>
          </w:tcPr>
          <w:p w:rsidR="00EB6E16" w:rsidRPr="006E7CAF" w:rsidRDefault="00EB6E16" w:rsidP="00526A6C">
            <w:pPr>
              <w:jc w:val="center"/>
              <w:rPr>
                <w:rFonts w:ascii="Times New Roman" w:hAnsi="Times New Roman" w:cs="Times New Roman"/>
                <w:sz w:val="20"/>
                <w:szCs w:val="20"/>
              </w:rPr>
            </w:pPr>
            <w:r w:rsidRPr="006E7CAF">
              <w:rPr>
                <w:rFonts w:ascii="Times New Roman" w:hAnsi="Times New Roman" w:cs="Times New Roman"/>
                <w:sz w:val="20"/>
                <w:szCs w:val="20"/>
              </w:rPr>
              <w:t>ТЕЦ лигнити и,</w:t>
            </w:r>
            <w:r w:rsidR="003C18F1">
              <w:rPr>
                <w:rFonts w:ascii="Times New Roman" w:hAnsi="Times New Roman" w:cs="Times New Roman"/>
                <w:sz w:val="20"/>
                <w:szCs w:val="20"/>
              </w:rPr>
              <w:t xml:space="preserve"> </w:t>
            </w:r>
            <w:r w:rsidRPr="006E7CAF">
              <w:rPr>
                <w:rFonts w:ascii="Times New Roman" w:hAnsi="Times New Roman" w:cs="Times New Roman"/>
                <w:sz w:val="20"/>
                <w:szCs w:val="20"/>
              </w:rPr>
              <w:t>макс</w:t>
            </w:r>
          </w:p>
        </w:tc>
        <w:tc>
          <w:tcPr>
            <w:tcW w:w="718" w:type="dxa"/>
            <w:tcBorders>
              <w:bottom w:val="single" w:sz="12" w:space="0" w:color="auto"/>
            </w:tcBorders>
          </w:tcPr>
          <w:p w:rsidR="00EB6E16" w:rsidRPr="006E7CAF" w:rsidRDefault="00EB6E16" w:rsidP="00526A6C">
            <w:pPr>
              <w:jc w:val="center"/>
              <w:rPr>
                <w:rFonts w:ascii="Times New Roman" w:hAnsi="Times New Roman" w:cs="Times New Roman"/>
                <w:sz w:val="20"/>
                <w:szCs w:val="20"/>
              </w:rPr>
            </w:pPr>
            <w:r w:rsidRPr="006E7CAF">
              <w:rPr>
                <w:rFonts w:ascii="Times New Roman" w:hAnsi="Times New Roman" w:cs="Times New Roman"/>
                <w:sz w:val="20"/>
                <w:szCs w:val="20"/>
              </w:rPr>
              <w:t>Ср. цена за микс</w:t>
            </w:r>
          </w:p>
        </w:tc>
      </w:tr>
      <w:tr w:rsidR="00C76E04" w:rsidRPr="006E7CAF" w:rsidTr="006E7CAF">
        <w:trPr>
          <w:jc w:val="center"/>
        </w:trPr>
        <w:tc>
          <w:tcPr>
            <w:tcW w:w="843" w:type="dxa"/>
            <w:tcBorders>
              <w:top w:val="single" w:sz="12" w:space="0" w:color="auto"/>
              <w:bottom w:val="single" w:sz="4" w:space="0" w:color="auto"/>
              <w:right w:val="single" w:sz="12" w:space="0" w:color="auto"/>
            </w:tcBorders>
          </w:tcPr>
          <w:p w:rsidR="00C76E04" w:rsidRPr="006E7CAF" w:rsidRDefault="00C76E04" w:rsidP="00526A6C">
            <w:pPr>
              <w:rPr>
                <w:rFonts w:ascii="Times New Roman" w:hAnsi="Times New Roman" w:cs="Times New Roman"/>
                <w:sz w:val="20"/>
                <w:szCs w:val="20"/>
              </w:rPr>
            </w:pPr>
            <w:r w:rsidRPr="006E7CAF">
              <w:rPr>
                <w:rFonts w:ascii="Times New Roman" w:hAnsi="Times New Roman" w:cs="Times New Roman"/>
                <w:sz w:val="20"/>
                <w:szCs w:val="20"/>
              </w:rPr>
              <w:t>2016</w:t>
            </w:r>
          </w:p>
        </w:tc>
        <w:tc>
          <w:tcPr>
            <w:tcW w:w="921" w:type="dxa"/>
            <w:tcBorders>
              <w:top w:val="single" w:sz="12" w:space="0" w:color="auto"/>
              <w:left w:val="single" w:sz="12" w:space="0" w:color="auto"/>
              <w:bottom w:val="single" w:sz="4" w:space="0" w:color="auto"/>
            </w:tcBorders>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185</w:t>
            </w:r>
          </w:p>
        </w:tc>
        <w:tc>
          <w:tcPr>
            <w:tcW w:w="776" w:type="dxa"/>
            <w:tcBorders>
              <w:top w:val="single" w:sz="12" w:space="0" w:color="auto"/>
              <w:bottom w:val="single" w:sz="4" w:space="0" w:color="auto"/>
            </w:tcBorders>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89</w:t>
            </w:r>
          </w:p>
        </w:tc>
        <w:tc>
          <w:tcPr>
            <w:tcW w:w="1025" w:type="dxa"/>
            <w:tcBorders>
              <w:top w:val="single" w:sz="12" w:space="0" w:color="auto"/>
              <w:bottom w:val="single" w:sz="4" w:space="0" w:color="auto"/>
            </w:tcBorders>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430</w:t>
            </w:r>
          </w:p>
        </w:tc>
        <w:tc>
          <w:tcPr>
            <w:tcW w:w="915" w:type="dxa"/>
            <w:tcBorders>
              <w:top w:val="single" w:sz="12" w:space="0" w:color="auto"/>
              <w:bottom w:val="single" w:sz="4" w:space="0" w:color="auto"/>
            </w:tcBorders>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336</w:t>
            </w:r>
          </w:p>
        </w:tc>
        <w:tc>
          <w:tcPr>
            <w:tcW w:w="1063" w:type="dxa"/>
            <w:tcBorders>
              <w:top w:val="single" w:sz="12" w:space="0" w:color="auto"/>
              <w:bottom w:val="single" w:sz="4" w:space="0" w:color="auto"/>
            </w:tcBorders>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145</w:t>
            </w:r>
          </w:p>
        </w:tc>
        <w:tc>
          <w:tcPr>
            <w:tcW w:w="985" w:type="dxa"/>
            <w:tcBorders>
              <w:top w:val="single" w:sz="12" w:space="0" w:color="auto"/>
              <w:bottom w:val="single" w:sz="4" w:space="0" w:color="auto"/>
            </w:tcBorders>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57</w:t>
            </w:r>
          </w:p>
        </w:tc>
        <w:tc>
          <w:tcPr>
            <w:tcW w:w="908" w:type="dxa"/>
            <w:tcBorders>
              <w:top w:val="single" w:sz="12" w:space="0" w:color="auto"/>
              <w:bottom w:val="single" w:sz="4" w:space="0" w:color="auto"/>
            </w:tcBorders>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80</w:t>
            </w:r>
          </w:p>
        </w:tc>
        <w:tc>
          <w:tcPr>
            <w:tcW w:w="908" w:type="dxa"/>
            <w:tcBorders>
              <w:top w:val="single" w:sz="12" w:space="0" w:color="auto"/>
              <w:bottom w:val="single" w:sz="4" w:space="0" w:color="auto"/>
            </w:tcBorders>
          </w:tcPr>
          <w:p w:rsidR="00C76E04" w:rsidRPr="006E7CAF" w:rsidRDefault="00C76E04" w:rsidP="0042145D">
            <w:pPr>
              <w:jc w:val="right"/>
              <w:rPr>
                <w:rFonts w:ascii="Times New Roman" w:hAnsi="Times New Roman" w:cs="Times New Roman"/>
                <w:sz w:val="20"/>
                <w:szCs w:val="20"/>
                <w:lang w:val="en-US"/>
              </w:rPr>
            </w:pPr>
            <w:r w:rsidRPr="006E7CAF">
              <w:rPr>
                <w:rFonts w:ascii="Times New Roman" w:hAnsi="Times New Roman" w:cs="Times New Roman"/>
                <w:sz w:val="20"/>
                <w:szCs w:val="20"/>
              </w:rPr>
              <w:t>101</w:t>
            </w:r>
          </w:p>
        </w:tc>
        <w:tc>
          <w:tcPr>
            <w:tcW w:w="718" w:type="dxa"/>
            <w:tcBorders>
              <w:top w:val="single" w:sz="12" w:space="0" w:color="auto"/>
              <w:bottom w:val="single" w:sz="4" w:space="0" w:color="auto"/>
            </w:tcBorders>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111</w:t>
            </w:r>
          </w:p>
        </w:tc>
      </w:tr>
      <w:tr w:rsidR="00C76E04" w:rsidRPr="006E7CAF" w:rsidTr="006E7CAF">
        <w:trPr>
          <w:jc w:val="center"/>
        </w:trPr>
        <w:tc>
          <w:tcPr>
            <w:tcW w:w="843" w:type="dxa"/>
            <w:tcBorders>
              <w:top w:val="single" w:sz="4" w:space="0" w:color="auto"/>
              <w:right w:val="single" w:sz="12" w:space="0" w:color="auto"/>
            </w:tcBorders>
          </w:tcPr>
          <w:p w:rsidR="00C76E04" w:rsidRPr="006E7CAF" w:rsidRDefault="00C76E04" w:rsidP="00526A6C">
            <w:pPr>
              <w:rPr>
                <w:rFonts w:ascii="Times New Roman" w:hAnsi="Times New Roman" w:cs="Times New Roman"/>
                <w:sz w:val="20"/>
                <w:szCs w:val="20"/>
              </w:rPr>
            </w:pPr>
            <w:r w:rsidRPr="006E7CAF">
              <w:rPr>
                <w:rFonts w:ascii="Times New Roman" w:hAnsi="Times New Roman" w:cs="Times New Roman"/>
                <w:sz w:val="20"/>
                <w:szCs w:val="20"/>
              </w:rPr>
              <w:t>2020</w:t>
            </w:r>
          </w:p>
        </w:tc>
        <w:tc>
          <w:tcPr>
            <w:tcW w:w="921" w:type="dxa"/>
            <w:tcBorders>
              <w:top w:val="single" w:sz="4" w:space="0" w:color="auto"/>
              <w:left w:val="single" w:sz="12" w:space="0" w:color="auto"/>
            </w:tcBorders>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185</w:t>
            </w:r>
          </w:p>
        </w:tc>
        <w:tc>
          <w:tcPr>
            <w:tcW w:w="776" w:type="dxa"/>
            <w:tcBorders>
              <w:top w:val="single" w:sz="4" w:space="0" w:color="auto"/>
            </w:tcBorders>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92</w:t>
            </w:r>
          </w:p>
        </w:tc>
        <w:tc>
          <w:tcPr>
            <w:tcW w:w="1025" w:type="dxa"/>
            <w:tcBorders>
              <w:top w:val="single" w:sz="4" w:space="0" w:color="auto"/>
            </w:tcBorders>
          </w:tcPr>
          <w:p w:rsidR="00C76E04" w:rsidRPr="006E7CAF" w:rsidRDefault="00C76E04" w:rsidP="0042145D">
            <w:pPr>
              <w:jc w:val="right"/>
              <w:rPr>
                <w:rFonts w:ascii="Times New Roman" w:hAnsi="Times New Roman" w:cs="Times New Roman"/>
                <w:sz w:val="20"/>
                <w:szCs w:val="20"/>
                <w:lang w:val="en-US"/>
              </w:rPr>
            </w:pPr>
            <w:r w:rsidRPr="006E7CAF">
              <w:rPr>
                <w:rFonts w:ascii="Times New Roman" w:hAnsi="Times New Roman" w:cs="Times New Roman"/>
                <w:sz w:val="20"/>
                <w:szCs w:val="20"/>
              </w:rPr>
              <w:t>430</w:t>
            </w:r>
          </w:p>
        </w:tc>
        <w:tc>
          <w:tcPr>
            <w:tcW w:w="915" w:type="dxa"/>
            <w:tcBorders>
              <w:top w:val="single" w:sz="4" w:space="0" w:color="auto"/>
            </w:tcBorders>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350</w:t>
            </w:r>
          </w:p>
        </w:tc>
        <w:tc>
          <w:tcPr>
            <w:tcW w:w="1063" w:type="dxa"/>
            <w:tcBorders>
              <w:top w:val="single" w:sz="4" w:space="0" w:color="auto"/>
            </w:tcBorders>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148</w:t>
            </w:r>
          </w:p>
        </w:tc>
        <w:tc>
          <w:tcPr>
            <w:tcW w:w="985" w:type="dxa"/>
            <w:tcBorders>
              <w:top w:val="single" w:sz="4" w:space="0" w:color="auto"/>
            </w:tcBorders>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58</w:t>
            </w:r>
          </w:p>
        </w:tc>
        <w:tc>
          <w:tcPr>
            <w:tcW w:w="908" w:type="dxa"/>
            <w:tcBorders>
              <w:top w:val="single" w:sz="4" w:space="0" w:color="auto"/>
            </w:tcBorders>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85</w:t>
            </w:r>
          </w:p>
        </w:tc>
        <w:tc>
          <w:tcPr>
            <w:tcW w:w="908" w:type="dxa"/>
            <w:tcBorders>
              <w:top w:val="single" w:sz="4" w:space="0" w:color="auto"/>
            </w:tcBorders>
          </w:tcPr>
          <w:p w:rsidR="00C76E04" w:rsidRPr="006E7CAF" w:rsidRDefault="00C76E04" w:rsidP="0042145D">
            <w:pPr>
              <w:jc w:val="right"/>
              <w:rPr>
                <w:rFonts w:ascii="Times New Roman" w:hAnsi="Times New Roman" w:cs="Times New Roman"/>
                <w:sz w:val="20"/>
                <w:szCs w:val="20"/>
                <w:lang w:val="en-US"/>
              </w:rPr>
            </w:pPr>
            <w:r w:rsidRPr="006E7CAF">
              <w:rPr>
                <w:rFonts w:ascii="Times New Roman" w:hAnsi="Times New Roman" w:cs="Times New Roman"/>
                <w:sz w:val="20"/>
                <w:szCs w:val="20"/>
              </w:rPr>
              <w:t>112</w:t>
            </w:r>
          </w:p>
        </w:tc>
        <w:tc>
          <w:tcPr>
            <w:tcW w:w="718" w:type="dxa"/>
            <w:tcBorders>
              <w:top w:val="single" w:sz="4" w:space="0" w:color="auto"/>
            </w:tcBorders>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113</w:t>
            </w:r>
          </w:p>
        </w:tc>
      </w:tr>
      <w:tr w:rsidR="00C76E04" w:rsidRPr="006E7CAF" w:rsidTr="006E7CAF">
        <w:trPr>
          <w:jc w:val="center"/>
        </w:trPr>
        <w:tc>
          <w:tcPr>
            <w:tcW w:w="843" w:type="dxa"/>
            <w:tcBorders>
              <w:right w:val="single" w:sz="12" w:space="0" w:color="auto"/>
            </w:tcBorders>
          </w:tcPr>
          <w:p w:rsidR="00C76E04" w:rsidRPr="006E7CAF" w:rsidRDefault="00C76E04" w:rsidP="00526A6C">
            <w:pPr>
              <w:rPr>
                <w:rFonts w:ascii="Times New Roman" w:hAnsi="Times New Roman" w:cs="Times New Roman"/>
                <w:sz w:val="20"/>
                <w:szCs w:val="20"/>
              </w:rPr>
            </w:pPr>
            <w:r w:rsidRPr="006E7CAF">
              <w:rPr>
                <w:rFonts w:ascii="Times New Roman" w:hAnsi="Times New Roman" w:cs="Times New Roman"/>
                <w:sz w:val="20"/>
                <w:szCs w:val="20"/>
              </w:rPr>
              <w:t>2025</w:t>
            </w:r>
          </w:p>
        </w:tc>
        <w:tc>
          <w:tcPr>
            <w:tcW w:w="921" w:type="dxa"/>
            <w:tcBorders>
              <w:left w:val="single" w:sz="12" w:space="0" w:color="auto"/>
            </w:tcBorders>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178</w:t>
            </w:r>
          </w:p>
        </w:tc>
        <w:tc>
          <w:tcPr>
            <w:tcW w:w="776"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96</w:t>
            </w:r>
          </w:p>
        </w:tc>
        <w:tc>
          <w:tcPr>
            <w:tcW w:w="1025" w:type="dxa"/>
          </w:tcPr>
          <w:p w:rsidR="00C76E04" w:rsidRPr="006E7CAF" w:rsidRDefault="00C76E04" w:rsidP="0042145D">
            <w:pPr>
              <w:jc w:val="right"/>
              <w:rPr>
                <w:rFonts w:ascii="Times New Roman" w:hAnsi="Times New Roman" w:cs="Times New Roman"/>
                <w:sz w:val="20"/>
                <w:szCs w:val="20"/>
                <w:lang w:val="en-US"/>
              </w:rPr>
            </w:pPr>
            <w:r w:rsidRPr="006E7CAF">
              <w:rPr>
                <w:rFonts w:ascii="Times New Roman" w:hAnsi="Times New Roman" w:cs="Times New Roman"/>
                <w:sz w:val="20"/>
                <w:szCs w:val="20"/>
              </w:rPr>
              <w:t>430</w:t>
            </w:r>
          </w:p>
        </w:tc>
        <w:tc>
          <w:tcPr>
            <w:tcW w:w="915"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314</w:t>
            </w:r>
          </w:p>
        </w:tc>
        <w:tc>
          <w:tcPr>
            <w:tcW w:w="1063"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156</w:t>
            </w:r>
          </w:p>
        </w:tc>
        <w:tc>
          <w:tcPr>
            <w:tcW w:w="985"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64</w:t>
            </w:r>
          </w:p>
        </w:tc>
        <w:tc>
          <w:tcPr>
            <w:tcW w:w="908"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95</w:t>
            </w:r>
          </w:p>
        </w:tc>
        <w:tc>
          <w:tcPr>
            <w:tcW w:w="908" w:type="dxa"/>
          </w:tcPr>
          <w:p w:rsidR="00C76E04" w:rsidRPr="006E7CAF" w:rsidRDefault="00C76E04" w:rsidP="0042145D">
            <w:pPr>
              <w:jc w:val="right"/>
              <w:rPr>
                <w:rFonts w:ascii="Times New Roman" w:hAnsi="Times New Roman" w:cs="Times New Roman"/>
                <w:sz w:val="20"/>
                <w:szCs w:val="20"/>
                <w:lang w:val="en-US"/>
              </w:rPr>
            </w:pPr>
            <w:r w:rsidRPr="006E7CAF">
              <w:rPr>
                <w:rFonts w:ascii="Times New Roman" w:hAnsi="Times New Roman" w:cs="Times New Roman"/>
                <w:sz w:val="20"/>
                <w:szCs w:val="20"/>
              </w:rPr>
              <w:t>128</w:t>
            </w:r>
          </w:p>
        </w:tc>
        <w:tc>
          <w:tcPr>
            <w:tcW w:w="718"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115</w:t>
            </w:r>
          </w:p>
        </w:tc>
      </w:tr>
      <w:tr w:rsidR="00C76E04" w:rsidRPr="006E7CAF" w:rsidTr="006E7CAF">
        <w:trPr>
          <w:jc w:val="center"/>
        </w:trPr>
        <w:tc>
          <w:tcPr>
            <w:tcW w:w="843" w:type="dxa"/>
            <w:tcBorders>
              <w:right w:val="single" w:sz="12" w:space="0" w:color="auto"/>
            </w:tcBorders>
          </w:tcPr>
          <w:p w:rsidR="00C76E04" w:rsidRPr="006E7CAF" w:rsidRDefault="00C76E04" w:rsidP="00526A6C">
            <w:pPr>
              <w:rPr>
                <w:rFonts w:ascii="Times New Roman" w:hAnsi="Times New Roman" w:cs="Times New Roman"/>
                <w:sz w:val="20"/>
                <w:szCs w:val="20"/>
              </w:rPr>
            </w:pPr>
            <w:r w:rsidRPr="006E7CAF">
              <w:rPr>
                <w:rFonts w:ascii="Times New Roman" w:hAnsi="Times New Roman" w:cs="Times New Roman"/>
                <w:sz w:val="20"/>
                <w:szCs w:val="20"/>
              </w:rPr>
              <w:t>2030</w:t>
            </w:r>
          </w:p>
        </w:tc>
        <w:tc>
          <w:tcPr>
            <w:tcW w:w="921" w:type="dxa"/>
            <w:tcBorders>
              <w:left w:val="single" w:sz="12" w:space="0" w:color="auto"/>
            </w:tcBorders>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155</w:t>
            </w:r>
          </w:p>
        </w:tc>
        <w:tc>
          <w:tcPr>
            <w:tcW w:w="776"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107</w:t>
            </w:r>
          </w:p>
        </w:tc>
        <w:tc>
          <w:tcPr>
            <w:tcW w:w="1025"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295</w:t>
            </w:r>
          </w:p>
        </w:tc>
        <w:tc>
          <w:tcPr>
            <w:tcW w:w="915"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291</w:t>
            </w:r>
          </w:p>
        </w:tc>
        <w:tc>
          <w:tcPr>
            <w:tcW w:w="1063"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167</w:t>
            </w:r>
          </w:p>
        </w:tc>
        <w:tc>
          <w:tcPr>
            <w:tcW w:w="985"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80</w:t>
            </w:r>
          </w:p>
        </w:tc>
        <w:tc>
          <w:tcPr>
            <w:tcW w:w="908"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105</w:t>
            </w:r>
          </w:p>
        </w:tc>
        <w:tc>
          <w:tcPr>
            <w:tcW w:w="908" w:type="dxa"/>
          </w:tcPr>
          <w:p w:rsidR="00C76E04" w:rsidRPr="006E7CAF" w:rsidRDefault="00C76E04" w:rsidP="0042145D">
            <w:pPr>
              <w:jc w:val="right"/>
              <w:rPr>
                <w:rFonts w:ascii="Times New Roman" w:hAnsi="Times New Roman" w:cs="Times New Roman"/>
                <w:sz w:val="20"/>
                <w:szCs w:val="20"/>
                <w:lang w:val="en-US"/>
              </w:rPr>
            </w:pPr>
            <w:r w:rsidRPr="006E7CAF">
              <w:rPr>
                <w:rFonts w:ascii="Times New Roman" w:hAnsi="Times New Roman" w:cs="Times New Roman"/>
                <w:sz w:val="20"/>
                <w:szCs w:val="20"/>
              </w:rPr>
              <w:t>147</w:t>
            </w:r>
          </w:p>
        </w:tc>
        <w:tc>
          <w:tcPr>
            <w:tcW w:w="718"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123</w:t>
            </w:r>
          </w:p>
        </w:tc>
      </w:tr>
      <w:tr w:rsidR="00C76E04" w:rsidRPr="006E7CAF" w:rsidTr="006E7CAF">
        <w:trPr>
          <w:jc w:val="center"/>
        </w:trPr>
        <w:tc>
          <w:tcPr>
            <w:tcW w:w="843" w:type="dxa"/>
            <w:tcBorders>
              <w:right w:val="single" w:sz="12" w:space="0" w:color="auto"/>
            </w:tcBorders>
          </w:tcPr>
          <w:p w:rsidR="00C76E04" w:rsidRPr="006E7CAF" w:rsidRDefault="00C76E04" w:rsidP="00526A6C">
            <w:pPr>
              <w:rPr>
                <w:rFonts w:ascii="Times New Roman" w:hAnsi="Times New Roman" w:cs="Times New Roman"/>
                <w:sz w:val="20"/>
                <w:szCs w:val="20"/>
              </w:rPr>
            </w:pPr>
            <w:r w:rsidRPr="006E7CAF">
              <w:rPr>
                <w:rFonts w:ascii="Times New Roman" w:hAnsi="Times New Roman" w:cs="Times New Roman"/>
                <w:sz w:val="20"/>
                <w:szCs w:val="20"/>
              </w:rPr>
              <w:t>2035</w:t>
            </w:r>
          </w:p>
        </w:tc>
        <w:tc>
          <w:tcPr>
            <w:tcW w:w="921" w:type="dxa"/>
            <w:tcBorders>
              <w:left w:val="single" w:sz="12" w:space="0" w:color="auto"/>
            </w:tcBorders>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140</w:t>
            </w:r>
          </w:p>
        </w:tc>
        <w:tc>
          <w:tcPr>
            <w:tcW w:w="776"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113</w:t>
            </w:r>
          </w:p>
        </w:tc>
        <w:tc>
          <w:tcPr>
            <w:tcW w:w="1025"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131</w:t>
            </w:r>
          </w:p>
        </w:tc>
        <w:tc>
          <w:tcPr>
            <w:tcW w:w="915"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256</w:t>
            </w:r>
          </w:p>
        </w:tc>
        <w:tc>
          <w:tcPr>
            <w:tcW w:w="1063"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177</w:t>
            </w:r>
          </w:p>
        </w:tc>
        <w:tc>
          <w:tcPr>
            <w:tcW w:w="985"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101</w:t>
            </w:r>
          </w:p>
        </w:tc>
        <w:tc>
          <w:tcPr>
            <w:tcW w:w="908"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110</w:t>
            </w:r>
          </w:p>
        </w:tc>
        <w:tc>
          <w:tcPr>
            <w:tcW w:w="908" w:type="dxa"/>
          </w:tcPr>
          <w:p w:rsidR="00C76E04" w:rsidRPr="006E7CAF" w:rsidRDefault="00C76E04" w:rsidP="0042145D">
            <w:pPr>
              <w:jc w:val="right"/>
              <w:rPr>
                <w:rFonts w:ascii="Times New Roman" w:hAnsi="Times New Roman" w:cs="Times New Roman"/>
                <w:sz w:val="20"/>
                <w:szCs w:val="20"/>
                <w:lang w:val="en-US"/>
              </w:rPr>
            </w:pPr>
            <w:r w:rsidRPr="006E7CAF">
              <w:rPr>
                <w:rFonts w:ascii="Times New Roman" w:hAnsi="Times New Roman" w:cs="Times New Roman"/>
                <w:sz w:val="20"/>
                <w:szCs w:val="20"/>
              </w:rPr>
              <w:t>159</w:t>
            </w:r>
          </w:p>
        </w:tc>
        <w:tc>
          <w:tcPr>
            <w:tcW w:w="718"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124</w:t>
            </w:r>
          </w:p>
        </w:tc>
      </w:tr>
      <w:tr w:rsidR="00C76E04" w:rsidRPr="006E7CAF" w:rsidTr="006E7CAF">
        <w:trPr>
          <w:jc w:val="center"/>
        </w:trPr>
        <w:tc>
          <w:tcPr>
            <w:tcW w:w="843" w:type="dxa"/>
            <w:tcBorders>
              <w:bottom w:val="single" w:sz="12" w:space="0" w:color="auto"/>
              <w:right w:val="single" w:sz="12" w:space="0" w:color="auto"/>
            </w:tcBorders>
          </w:tcPr>
          <w:p w:rsidR="00C76E04" w:rsidRPr="006E7CAF" w:rsidRDefault="00C76E04" w:rsidP="00526A6C">
            <w:pPr>
              <w:rPr>
                <w:rFonts w:ascii="Times New Roman" w:hAnsi="Times New Roman" w:cs="Times New Roman"/>
                <w:sz w:val="20"/>
                <w:szCs w:val="20"/>
              </w:rPr>
            </w:pPr>
            <w:r w:rsidRPr="006E7CAF">
              <w:rPr>
                <w:rFonts w:ascii="Times New Roman" w:hAnsi="Times New Roman" w:cs="Times New Roman"/>
                <w:sz w:val="20"/>
                <w:szCs w:val="20"/>
              </w:rPr>
              <w:t>2040</w:t>
            </w:r>
          </w:p>
        </w:tc>
        <w:tc>
          <w:tcPr>
            <w:tcW w:w="921" w:type="dxa"/>
            <w:tcBorders>
              <w:left w:val="single" w:sz="12" w:space="0" w:color="auto"/>
            </w:tcBorders>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142</w:t>
            </w:r>
          </w:p>
        </w:tc>
        <w:tc>
          <w:tcPr>
            <w:tcW w:w="776"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125</w:t>
            </w:r>
          </w:p>
        </w:tc>
        <w:tc>
          <w:tcPr>
            <w:tcW w:w="1025"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142</w:t>
            </w:r>
          </w:p>
        </w:tc>
        <w:tc>
          <w:tcPr>
            <w:tcW w:w="915"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180</w:t>
            </w:r>
          </w:p>
        </w:tc>
        <w:tc>
          <w:tcPr>
            <w:tcW w:w="1063"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188</w:t>
            </w:r>
          </w:p>
        </w:tc>
        <w:tc>
          <w:tcPr>
            <w:tcW w:w="985"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125</w:t>
            </w:r>
          </w:p>
        </w:tc>
        <w:tc>
          <w:tcPr>
            <w:tcW w:w="908"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120</w:t>
            </w:r>
          </w:p>
        </w:tc>
        <w:tc>
          <w:tcPr>
            <w:tcW w:w="908" w:type="dxa"/>
          </w:tcPr>
          <w:p w:rsidR="00C76E04" w:rsidRPr="006E7CAF" w:rsidRDefault="00C76E04" w:rsidP="0042145D">
            <w:pPr>
              <w:jc w:val="right"/>
              <w:rPr>
                <w:rFonts w:ascii="Times New Roman" w:hAnsi="Times New Roman" w:cs="Times New Roman"/>
                <w:sz w:val="20"/>
                <w:szCs w:val="20"/>
                <w:lang w:val="en-US"/>
              </w:rPr>
            </w:pPr>
            <w:r w:rsidRPr="006E7CAF">
              <w:rPr>
                <w:rFonts w:ascii="Times New Roman" w:hAnsi="Times New Roman" w:cs="Times New Roman"/>
                <w:sz w:val="20"/>
                <w:szCs w:val="20"/>
              </w:rPr>
              <w:t>167</w:t>
            </w:r>
          </w:p>
        </w:tc>
        <w:tc>
          <w:tcPr>
            <w:tcW w:w="718" w:type="dxa"/>
          </w:tcPr>
          <w:p w:rsidR="00C76E04" w:rsidRPr="006E7CAF" w:rsidRDefault="00C76E04" w:rsidP="0042145D">
            <w:pPr>
              <w:jc w:val="right"/>
              <w:rPr>
                <w:rFonts w:ascii="Times New Roman" w:hAnsi="Times New Roman" w:cs="Times New Roman"/>
                <w:sz w:val="20"/>
                <w:szCs w:val="20"/>
              </w:rPr>
            </w:pPr>
            <w:r w:rsidRPr="006E7CAF">
              <w:rPr>
                <w:rFonts w:ascii="Times New Roman" w:hAnsi="Times New Roman" w:cs="Times New Roman"/>
                <w:sz w:val="20"/>
                <w:szCs w:val="20"/>
              </w:rPr>
              <w:t>139</w:t>
            </w:r>
          </w:p>
        </w:tc>
      </w:tr>
    </w:tbl>
    <w:p w:rsidR="000E5C79" w:rsidRDefault="000E5C79" w:rsidP="0071789D">
      <w:pPr>
        <w:spacing w:before="120" w:after="120" w:line="240" w:lineRule="auto"/>
        <w:jc w:val="center"/>
        <w:rPr>
          <w:rFonts w:ascii="Times New Roman" w:hAnsi="Times New Roman" w:cs="Times New Roman"/>
          <w:sz w:val="20"/>
          <w:szCs w:val="24"/>
          <w:lang w:val="en-US"/>
        </w:rPr>
      </w:pPr>
      <w:r w:rsidRPr="0071789D">
        <w:rPr>
          <w:rFonts w:ascii="Times New Roman" w:hAnsi="Times New Roman" w:cs="Times New Roman"/>
          <w:sz w:val="20"/>
          <w:szCs w:val="24"/>
        </w:rPr>
        <w:t>Източник: Резултати от Дейност II.</w:t>
      </w:r>
    </w:p>
    <w:p w:rsidR="006E7CAF" w:rsidRPr="006E7CAF" w:rsidRDefault="006E7CAF" w:rsidP="0071789D">
      <w:pPr>
        <w:spacing w:before="120" w:after="120" w:line="240" w:lineRule="auto"/>
        <w:jc w:val="center"/>
        <w:rPr>
          <w:rFonts w:ascii="Times New Roman" w:hAnsi="Times New Roman" w:cs="Times New Roman"/>
          <w:sz w:val="20"/>
          <w:szCs w:val="24"/>
          <w:lang w:val="en-US"/>
        </w:rPr>
      </w:pPr>
    </w:p>
    <w:p w:rsidR="000E5C79" w:rsidRPr="002A2C05" w:rsidRDefault="000E5C79" w:rsidP="006E7CAF">
      <w:pPr>
        <w:spacing w:after="120" w:line="240" w:lineRule="auto"/>
        <w:jc w:val="both"/>
        <w:rPr>
          <w:rFonts w:ascii="Times New Roman" w:eastAsia="Times New Roman" w:hAnsi="Times New Roman" w:cs="Times New Roman"/>
          <w:sz w:val="24"/>
          <w:szCs w:val="24"/>
        </w:rPr>
      </w:pPr>
      <w:r w:rsidRPr="002A2C05">
        <w:rPr>
          <w:rFonts w:ascii="Times New Roman" w:eastAsia="Times New Roman" w:hAnsi="Times New Roman" w:cs="Times New Roman"/>
          <w:sz w:val="24"/>
          <w:szCs w:val="24"/>
        </w:rPr>
        <w:t xml:space="preserve">Борсовите цени в региона постепенно конвергират с развитието на либерализирания пазар, </w:t>
      </w:r>
      <w:r w:rsidR="001A1D91">
        <w:rPr>
          <w:rFonts w:ascii="Times New Roman" w:eastAsia="Times New Roman" w:hAnsi="Times New Roman" w:cs="Times New Roman"/>
          <w:sz w:val="24"/>
          <w:szCs w:val="24"/>
        </w:rPr>
        <w:t>като</w:t>
      </w:r>
      <w:r w:rsidR="006E7CAF">
        <w:rPr>
          <w:rFonts w:ascii="Times New Roman" w:eastAsia="Times New Roman" w:hAnsi="Times New Roman" w:cs="Times New Roman"/>
          <w:sz w:val="24"/>
          <w:szCs w:val="24"/>
          <w:lang w:val="en-US"/>
        </w:rPr>
        <w:t xml:space="preserve"> </w:t>
      </w:r>
      <w:r w:rsidRPr="002A2C05">
        <w:rPr>
          <w:rFonts w:ascii="Times New Roman" w:eastAsia="Times New Roman" w:hAnsi="Times New Roman" w:cs="Times New Roman"/>
          <w:sz w:val="24"/>
          <w:szCs w:val="24"/>
        </w:rPr>
        <w:t>с</w:t>
      </w:r>
      <w:r w:rsidR="001A1D91">
        <w:rPr>
          <w:rFonts w:ascii="Times New Roman" w:eastAsia="Times New Roman" w:hAnsi="Times New Roman" w:cs="Times New Roman"/>
          <w:sz w:val="24"/>
          <w:szCs w:val="24"/>
        </w:rPr>
        <w:t>ледват общата тенденция н</w:t>
      </w:r>
      <w:r>
        <w:rPr>
          <w:rFonts w:ascii="Times New Roman" w:eastAsia="Times New Roman" w:hAnsi="Times New Roman" w:cs="Times New Roman"/>
          <w:sz w:val="24"/>
          <w:szCs w:val="24"/>
        </w:rPr>
        <w:t xml:space="preserve">а </w:t>
      </w:r>
      <w:r w:rsidR="001A1D91">
        <w:rPr>
          <w:rFonts w:ascii="Times New Roman" w:eastAsia="Times New Roman" w:hAnsi="Times New Roman" w:cs="Times New Roman"/>
          <w:sz w:val="24"/>
          <w:szCs w:val="24"/>
        </w:rPr>
        <w:t>увеличение</w:t>
      </w:r>
      <w:r>
        <w:rPr>
          <w:rFonts w:ascii="Times New Roman" w:eastAsia="Times New Roman" w:hAnsi="Times New Roman" w:cs="Times New Roman"/>
          <w:sz w:val="24"/>
          <w:szCs w:val="24"/>
        </w:rPr>
        <w:t>.</w:t>
      </w:r>
    </w:p>
    <w:p w:rsidR="000E5C79" w:rsidRPr="002A2C05" w:rsidRDefault="000E5C79" w:rsidP="006E7CAF">
      <w:pPr>
        <w:spacing w:after="120" w:line="240" w:lineRule="auto"/>
        <w:jc w:val="both"/>
        <w:rPr>
          <w:rFonts w:ascii="Times New Roman" w:eastAsia="Times New Roman" w:hAnsi="Times New Roman" w:cs="Times New Roman"/>
          <w:sz w:val="24"/>
          <w:szCs w:val="24"/>
        </w:rPr>
      </w:pPr>
      <w:r w:rsidRPr="002A2C05">
        <w:rPr>
          <w:rFonts w:ascii="Times New Roman" w:eastAsia="Times New Roman" w:hAnsi="Times New Roman" w:cs="Times New Roman"/>
          <w:sz w:val="24"/>
          <w:szCs w:val="24"/>
        </w:rPr>
        <w:t>Оценките за наличие на дефицити/излишъци на генериращи мощности в региона показват, че с голяма вероятност ще се запази нуждата на редица страни да допълват електроенергийния си баланс с внос от други страни. На годишна база този дефицит към 2030 г</w:t>
      </w:r>
      <w:r w:rsidR="006E7CAF">
        <w:rPr>
          <w:rFonts w:ascii="Times New Roman" w:eastAsia="Times New Roman" w:hAnsi="Times New Roman" w:cs="Times New Roman"/>
          <w:sz w:val="24"/>
          <w:szCs w:val="24"/>
        </w:rPr>
        <w:t>.</w:t>
      </w:r>
      <w:r w:rsidRPr="002A2C05">
        <w:rPr>
          <w:rFonts w:ascii="Times New Roman" w:eastAsia="Times New Roman" w:hAnsi="Times New Roman" w:cs="Times New Roman"/>
          <w:sz w:val="24"/>
          <w:szCs w:val="24"/>
        </w:rPr>
        <w:t xml:space="preserve"> варира между 20 000 и 25 000 </w:t>
      </w:r>
      <w:r w:rsidRPr="002A2C05">
        <w:rPr>
          <w:rFonts w:ascii="Times New Roman" w:eastAsia="Times New Roman" w:hAnsi="Times New Roman" w:cs="Times New Roman"/>
          <w:sz w:val="24"/>
          <w:szCs w:val="24"/>
          <w:lang w:val="en-GB"/>
        </w:rPr>
        <w:t>GWh</w:t>
      </w:r>
      <w:r w:rsidRPr="002A2C05">
        <w:rPr>
          <w:rFonts w:ascii="Times New Roman" w:eastAsia="Times New Roman" w:hAnsi="Times New Roman" w:cs="Times New Roman"/>
          <w:sz w:val="24"/>
          <w:szCs w:val="24"/>
        </w:rPr>
        <w:t>.</w:t>
      </w:r>
    </w:p>
    <w:p w:rsidR="000E5C79" w:rsidRPr="002A2C05" w:rsidRDefault="000E5C79" w:rsidP="006E7CAF">
      <w:pPr>
        <w:spacing w:after="120" w:line="240" w:lineRule="auto"/>
        <w:jc w:val="both"/>
        <w:rPr>
          <w:rFonts w:ascii="Times New Roman" w:hAnsi="Times New Roman" w:cs="Times New Roman"/>
          <w:sz w:val="24"/>
          <w:szCs w:val="24"/>
          <w:lang w:val="en-US"/>
        </w:rPr>
      </w:pPr>
      <w:r w:rsidRPr="002A2C05">
        <w:rPr>
          <w:rFonts w:ascii="Times New Roman" w:eastAsia="Times New Roman" w:hAnsi="Times New Roman" w:cs="Times New Roman"/>
          <w:sz w:val="24"/>
          <w:szCs w:val="24"/>
        </w:rPr>
        <w:t xml:space="preserve">В </w:t>
      </w:r>
      <w:r w:rsidR="00C76E04" w:rsidRPr="00C76E04">
        <w:rPr>
          <w:rFonts w:ascii="Times New Roman" w:eastAsia="Times New Roman" w:hAnsi="Times New Roman" w:cs="Times New Roman"/>
          <w:sz w:val="24"/>
          <w:szCs w:val="24"/>
        </w:rPr>
        <w:t>Т</w:t>
      </w:r>
      <w:r w:rsidRPr="00C76E04">
        <w:rPr>
          <w:rFonts w:ascii="Times New Roman" w:eastAsia="Times New Roman" w:hAnsi="Times New Roman" w:cs="Times New Roman"/>
          <w:sz w:val="24"/>
          <w:szCs w:val="24"/>
        </w:rPr>
        <w:t>аблица</w:t>
      </w:r>
      <w:r w:rsidR="00505B2E">
        <w:rPr>
          <w:rFonts w:ascii="Times New Roman" w:eastAsia="Times New Roman" w:hAnsi="Times New Roman" w:cs="Times New Roman"/>
          <w:sz w:val="24"/>
          <w:szCs w:val="24"/>
        </w:rPr>
        <w:t xml:space="preserve"> </w:t>
      </w:r>
      <w:r w:rsidR="00C76E04">
        <w:rPr>
          <w:rFonts w:ascii="Times New Roman" w:eastAsia="Times New Roman" w:hAnsi="Times New Roman" w:cs="Times New Roman"/>
          <w:sz w:val="24"/>
          <w:szCs w:val="24"/>
          <w:lang w:val="en-US"/>
        </w:rPr>
        <w:t>V.</w:t>
      </w:r>
      <w:r w:rsidRPr="002A2C05">
        <w:rPr>
          <w:rFonts w:ascii="Times New Roman" w:eastAsia="Times New Roman" w:hAnsi="Times New Roman" w:cs="Times New Roman"/>
          <w:sz w:val="24"/>
          <w:szCs w:val="24"/>
        </w:rPr>
        <w:t>2 са показани резултатите от прогнозиране на борсовите цени в региона по подхода „отгоре-надолу“:</w:t>
      </w:r>
    </w:p>
    <w:p w:rsidR="000E5C79" w:rsidRDefault="00C76E04" w:rsidP="00C76E04">
      <w:pPr>
        <w:pStyle w:val="Caption"/>
        <w:rPr>
          <w:rFonts w:ascii="Times New Roman" w:hAnsi="Times New Roman"/>
          <w:szCs w:val="24"/>
        </w:rPr>
      </w:pPr>
      <w:bookmarkStart w:id="16" w:name="_Toc493240898"/>
      <w:r>
        <w:lastRenderedPageBreak/>
        <w:t>Таблица V.</w:t>
      </w:r>
      <w:r w:rsidR="0097530B">
        <w:fldChar w:fldCharType="begin"/>
      </w:r>
      <w:r w:rsidR="00042F89">
        <w:instrText xml:space="preserve"> SEQ Таблица_V. \* ARABIC </w:instrText>
      </w:r>
      <w:r w:rsidR="0097530B">
        <w:fldChar w:fldCharType="separate"/>
      </w:r>
      <w:r w:rsidR="00F44EBF">
        <w:rPr>
          <w:noProof/>
        </w:rPr>
        <w:t>2</w:t>
      </w:r>
      <w:r w:rsidR="0097530B">
        <w:rPr>
          <w:noProof/>
        </w:rPr>
        <w:fldChar w:fldCharType="end"/>
      </w:r>
      <w:r>
        <w:rPr>
          <w:rFonts w:asciiTheme="minorHAnsi" w:hAnsiTheme="minorHAnsi"/>
        </w:rPr>
        <w:t>.</w:t>
      </w:r>
      <w:r w:rsidR="000E5C79" w:rsidRPr="00487E37">
        <w:rPr>
          <w:rFonts w:ascii="Times New Roman" w:hAnsi="Times New Roman"/>
          <w:szCs w:val="24"/>
        </w:rPr>
        <w:t xml:space="preserve"> Прогнози за борсови цени на регионален пазар, евро за </w:t>
      </w:r>
      <w:r w:rsidR="000E5C79">
        <w:rPr>
          <w:rFonts w:ascii="Times New Roman" w:hAnsi="Times New Roman"/>
          <w:szCs w:val="24"/>
          <w:lang w:val="en-GB"/>
        </w:rPr>
        <w:t>MWh</w:t>
      </w:r>
      <w:bookmarkEnd w:id="16"/>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039"/>
        <w:gridCol w:w="851"/>
        <w:gridCol w:w="850"/>
        <w:gridCol w:w="851"/>
        <w:gridCol w:w="850"/>
        <w:gridCol w:w="851"/>
        <w:gridCol w:w="920"/>
      </w:tblGrid>
      <w:tr w:rsidR="0042145D" w:rsidRPr="003C18F1" w:rsidTr="003C18F1">
        <w:trPr>
          <w:jc w:val="center"/>
        </w:trPr>
        <w:tc>
          <w:tcPr>
            <w:tcW w:w="4039" w:type="dxa"/>
            <w:tcBorders>
              <w:top w:val="single" w:sz="12" w:space="0" w:color="auto"/>
              <w:bottom w:val="single" w:sz="12" w:space="0" w:color="auto"/>
              <w:right w:val="single" w:sz="12" w:space="0" w:color="auto"/>
            </w:tcBorders>
            <w:vAlign w:val="center"/>
          </w:tcPr>
          <w:p w:rsidR="0042145D" w:rsidRPr="003C18F1" w:rsidRDefault="00CC323F" w:rsidP="00C76E04">
            <w:pPr>
              <w:rPr>
                <w:rFonts w:ascii="Times New Roman" w:hAnsi="Times New Roman" w:cs="Times New Roman"/>
                <w:sz w:val="20"/>
                <w:szCs w:val="20"/>
              </w:rPr>
            </w:pPr>
            <w:r w:rsidRPr="003C18F1">
              <w:rPr>
                <w:rFonts w:ascii="Times New Roman" w:hAnsi="Times New Roman" w:cs="Times New Roman"/>
                <w:sz w:val="20"/>
                <w:szCs w:val="20"/>
              </w:rPr>
              <w:t>Ценови сценарий</w:t>
            </w:r>
          </w:p>
        </w:tc>
        <w:tc>
          <w:tcPr>
            <w:tcW w:w="851" w:type="dxa"/>
            <w:tcBorders>
              <w:left w:val="single" w:sz="12" w:space="0" w:color="auto"/>
              <w:bottom w:val="single" w:sz="12" w:space="0" w:color="auto"/>
            </w:tcBorders>
            <w:vAlign w:val="center"/>
          </w:tcPr>
          <w:p w:rsidR="0042145D" w:rsidRPr="003C18F1" w:rsidRDefault="0042145D" w:rsidP="0042145D">
            <w:pPr>
              <w:jc w:val="center"/>
              <w:rPr>
                <w:rFonts w:ascii="Times New Roman" w:hAnsi="Times New Roman" w:cs="Times New Roman"/>
                <w:sz w:val="20"/>
                <w:szCs w:val="20"/>
              </w:rPr>
            </w:pPr>
            <w:r w:rsidRPr="003C18F1">
              <w:rPr>
                <w:rFonts w:ascii="Times New Roman" w:hAnsi="Times New Roman" w:cs="Times New Roman"/>
                <w:sz w:val="20"/>
                <w:szCs w:val="20"/>
              </w:rPr>
              <w:t>2016</w:t>
            </w:r>
            <w:r w:rsidR="00CC323F" w:rsidRPr="003C18F1">
              <w:rPr>
                <w:rFonts w:ascii="Times New Roman" w:hAnsi="Times New Roman" w:cs="Times New Roman"/>
                <w:sz w:val="20"/>
                <w:szCs w:val="20"/>
              </w:rPr>
              <w:t xml:space="preserve"> г.</w:t>
            </w:r>
          </w:p>
        </w:tc>
        <w:tc>
          <w:tcPr>
            <w:tcW w:w="850" w:type="dxa"/>
            <w:tcBorders>
              <w:bottom w:val="single" w:sz="12" w:space="0" w:color="auto"/>
            </w:tcBorders>
            <w:vAlign w:val="center"/>
          </w:tcPr>
          <w:p w:rsidR="0042145D" w:rsidRPr="003C18F1" w:rsidRDefault="0042145D" w:rsidP="0042145D">
            <w:pPr>
              <w:jc w:val="center"/>
              <w:rPr>
                <w:rFonts w:ascii="Times New Roman" w:hAnsi="Times New Roman" w:cs="Times New Roman"/>
                <w:sz w:val="20"/>
                <w:szCs w:val="20"/>
              </w:rPr>
            </w:pPr>
            <w:r w:rsidRPr="003C18F1">
              <w:rPr>
                <w:rFonts w:ascii="Times New Roman" w:hAnsi="Times New Roman" w:cs="Times New Roman"/>
                <w:sz w:val="20"/>
                <w:szCs w:val="20"/>
              </w:rPr>
              <w:t>2020</w:t>
            </w:r>
            <w:r w:rsidR="00CC323F" w:rsidRPr="003C18F1">
              <w:rPr>
                <w:rFonts w:ascii="Times New Roman" w:hAnsi="Times New Roman" w:cs="Times New Roman"/>
                <w:sz w:val="20"/>
                <w:szCs w:val="20"/>
              </w:rPr>
              <w:t xml:space="preserve"> г.</w:t>
            </w:r>
          </w:p>
        </w:tc>
        <w:tc>
          <w:tcPr>
            <w:tcW w:w="851" w:type="dxa"/>
            <w:tcBorders>
              <w:bottom w:val="single" w:sz="12" w:space="0" w:color="auto"/>
            </w:tcBorders>
            <w:vAlign w:val="center"/>
          </w:tcPr>
          <w:p w:rsidR="0042145D" w:rsidRPr="003C18F1" w:rsidRDefault="0042145D" w:rsidP="0042145D">
            <w:pPr>
              <w:jc w:val="center"/>
              <w:rPr>
                <w:rFonts w:ascii="Times New Roman" w:hAnsi="Times New Roman" w:cs="Times New Roman"/>
                <w:sz w:val="20"/>
                <w:szCs w:val="20"/>
              </w:rPr>
            </w:pPr>
            <w:r w:rsidRPr="003C18F1">
              <w:rPr>
                <w:rFonts w:ascii="Times New Roman" w:hAnsi="Times New Roman" w:cs="Times New Roman"/>
                <w:sz w:val="20"/>
                <w:szCs w:val="20"/>
              </w:rPr>
              <w:t>2025</w:t>
            </w:r>
            <w:r w:rsidR="00CC323F" w:rsidRPr="003C18F1">
              <w:rPr>
                <w:rFonts w:ascii="Times New Roman" w:hAnsi="Times New Roman" w:cs="Times New Roman"/>
                <w:sz w:val="20"/>
                <w:szCs w:val="20"/>
              </w:rPr>
              <w:t xml:space="preserve"> г.</w:t>
            </w:r>
          </w:p>
        </w:tc>
        <w:tc>
          <w:tcPr>
            <w:tcW w:w="850" w:type="dxa"/>
            <w:tcBorders>
              <w:bottom w:val="single" w:sz="12" w:space="0" w:color="auto"/>
            </w:tcBorders>
            <w:vAlign w:val="center"/>
          </w:tcPr>
          <w:p w:rsidR="0042145D" w:rsidRPr="003C18F1" w:rsidRDefault="0042145D" w:rsidP="0042145D">
            <w:pPr>
              <w:jc w:val="center"/>
              <w:rPr>
                <w:rFonts w:ascii="Times New Roman" w:hAnsi="Times New Roman" w:cs="Times New Roman"/>
                <w:sz w:val="20"/>
                <w:szCs w:val="20"/>
              </w:rPr>
            </w:pPr>
            <w:r w:rsidRPr="003C18F1">
              <w:rPr>
                <w:rFonts w:ascii="Times New Roman" w:hAnsi="Times New Roman" w:cs="Times New Roman"/>
                <w:sz w:val="20"/>
                <w:szCs w:val="20"/>
              </w:rPr>
              <w:t>2030</w:t>
            </w:r>
            <w:r w:rsidR="00CC323F" w:rsidRPr="003C18F1">
              <w:rPr>
                <w:rFonts w:ascii="Times New Roman" w:hAnsi="Times New Roman" w:cs="Times New Roman"/>
                <w:sz w:val="20"/>
                <w:szCs w:val="20"/>
              </w:rPr>
              <w:t xml:space="preserve"> г.</w:t>
            </w:r>
          </w:p>
        </w:tc>
        <w:tc>
          <w:tcPr>
            <w:tcW w:w="851" w:type="dxa"/>
            <w:tcBorders>
              <w:bottom w:val="single" w:sz="12" w:space="0" w:color="auto"/>
            </w:tcBorders>
            <w:vAlign w:val="center"/>
          </w:tcPr>
          <w:p w:rsidR="0042145D" w:rsidRPr="003C18F1" w:rsidRDefault="0042145D" w:rsidP="0042145D">
            <w:pPr>
              <w:jc w:val="center"/>
              <w:rPr>
                <w:rFonts w:ascii="Times New Roman" w:hAnsi="Times New Roman" w:cs="Times New Roman"/>
                <w:sz w:val="20"/>
                <w:szCs w:val="20"/>
              </w:rPr>
            </w:pPr>
            <w:r w:rsidRPr="003C18F1">
              <w:rPr>
                <w:rFonts w:ascii="Times New Roman" w:hAnsi="Times New Roman" w:cs="Times New Roman"/>
                <w:sz w:val="20"/>
                <w:szCs w:val="20"/>
              </w:rPr>
              <w:t>2035</w:t>
            </w:r>
            <w:r w:rsidR="00CC323F" w:rsidRPr="003C18F1">
              <w:rPr>
                <w:rFonts w:ascii="Times New Roman" w:hAnsi="Times New Roman" w:cs="Times New Roman"/>
                <w:sz w:val="20"/>
                <w:szCs w:val="20"/>
              </w:rPr>
              <w:t xml:space="preserve"> г.</w:t>
            </w:r>
          </w:p>
        </w:tc>
        <w:tc>
          <w:tcPr>
            <w:tcW w:w="920" w:type="dxa"/>
            <w:tcBorders>
              <w:bottom w:val="single" w:sz="12" w:space="0" w:color="auto"/>
            </w:tcBorders>
            <w:vAlign w:val="center"/>
          </w:tcPr>
          <w:p w:rsidR="0042145D" w:rsidRPr="003C18F1" w:rsidRDefault="0042145D" w:rsidP="0042145D">
            <w:pPr>
              <w:jc w:val="center"/>
              <w:rPr>
                <w:rFonts w:ascii="Times New Roman" w:hAnsi="Times New Roman" w:cs="Times New Roman"/>
                <w:sz w:val="20"/>
                <w:szCs w:val="20"/>
                <w:lang w:val="en-GB"/>
              </w:rPr>
            </w:pPr>
            <w:r w:rsidRPr="003C18F1">
              <w:rPr>
                <w:rFonts w:ascii="Times New Roman" w:hAnsi="Times New Roman" w:cs="Times New Roman"/>
                <w:sz w:val="20"/>
                <w:szCs w:val="20"/>
              </w:rPr>
              <w:t>2040</w:t>
            </w:r>
            <w:r w:rsidR="00CC323F" w:rsidRPr="003C18F1">
              <w:rPr>
                <w:rFonts w:ascii="Times New Roman" w:hAnsi="Times New Roman" w:cs="Times New Roman"/>
                <w:sz w:val="20"/>
                <w:szCs w:val="20"/>
              </w:rPr>
              <w:t xml:space="preserve"> г.</w:t>
            </w:r>
          </w:p>
        </w:tc>
      </w:tr>
      <w:tr w:rsidR="0042145D" w:rsidRPr="003C18F1" w:rsidTr="003C18F1">
        <w:trPr>
          <w:jc w:val="center"/>
        </w:trPr>
        <w:tc>
          <w:tcPr>
            <w:tcW w:w="4039" w:type="dxa"/>
            <w:tcBorders>
              <w:top w:val="single" w:sz="12" w:space="0" w:color="auto"/>
              <w:bottom w:val="single" w:sz="4" w:space="0" w:color="auto"/>
              <w:right w:val="single" w:sz="12" w:space="0" w:color="auto"/>
            </w:tcBorders>
            <w:vAlign w:val="center"/>
          </w:tcPr>
          <w:p w:rsidR="0042145D" w:rsidRPr="003C18F1" w:rsidRDefault="0042145D" w:rsidP="00C76E04">
            <w:pPr>
              <w:rPr>
                <w:rFonts w:ascii="Times New Roman" w:hAnsi="Times New Roman" w:cs="Times New Roman"/>
                <w:sz w:val="20"/>
                <w:szCs w:val="20"/>
              </w:rPr>
            </w:pPr>
            <w:r w:rsidRPr="003C18F1">
              <w:rPr>
                <w:rFonts w:ascii="Times New Roman" w:hAnsi="Times New Roman" w:cs="Times New Roman"/>
                <w:sz w:val="20"/>
                <w:szCs w:val="20"/>
              </w:rPr>
              <w:t>Среднопретеглена регионална цена само за България, Гърция, Румъния и Унгария</w:t>
            </w:r>
          </w:p>
        </w:tc>
        <w:tc>
          <w:tcPr>
            <w:tcW w:w="851" w:type="dxa"/>
            <w:tcBorders>
              <w:top w:val="single" w:sz="12" w:space="0" w:color="auto"/>
              <w:left w:val="single" w:sz="12" w:space="0" w:color="auto"/>
              <w:bottom w:val="single" w:sz="4" w:space="0" w:color="auto"/>
            </w:tcBorders>
            <w:vAlign w:val="center"/>
          </w:tcPr>
          <w:p w:rsidR="0042145D" w:rsidRPr="003C18F1" w:rsidRDefault="0042145D" w:rsidP="009D5684">
            <w:pPr>
              <w:jc w:val="right"/>
              <w:rPr>
                <w:rFonts w:ascii="Times New Roman" w:hAnsi="Times New Roman" w:cs="Times New Roman"/>
                <w:sz w:val="20"/>
                <w:szCs w:val="20"/>
              </w:rPr>
            </w:pPr>
            <w:r w:rsidRPr="003C18F1">
              <w:rPr>
                <w:rFonts w:ascii="Times New Roman" w:hAnsi="Times New Roman" w:cs="Times New Roman"/>
                <w:sz w:val="20"/>
                <w:szCs w:val="20"/>
              </w:rPr>
              <w:t>38</w:t>
            </w:r>
            <w:r w:rsidR="003C18F1">
              <w:rPr>
                <w:rFonts w:ascii="Times New Roman" w:hAnsi="Times New Roman" w:cs="Times New Roman"/>
                <w:sz w:val="20"/>
                <w:szCs w:val="20"/>
              </w:rPr>
              <w:t>.</w:t>
            </w:r>
            <w:r w:rsidRPr="003C18F1">
              <w:rPr>
                <w:rFonts w:ascii="Times New Roman" w:hAnsi="Times New Roman" w:cs="Times New Roman"/>
                <w:sz w:val="20"/>
                <w:szCs w:val="20"/>
              </w:rPr>
              <w:t>60</w:t>
            </w:r>
          </w:p>
        </w:tc>
        <w:tc>
          <w:tcPr>
            <w:tcW w:w="850" w:type="dxa"/>
            <w:tcBorders>
              <w:top w:val="single" w:sz="12" w:space="0" w:color="auto"/>
              <w:bottom w:val="single" w:sz="4" w:space="0" w:color="auto"/>
            </w:tcBorders>
            <w:vAlign w:val="center"/>
          </w:tcPr>
          <w:p w:rsidR="0042145D" w:rsidRPr="003C18F1" w:rsidRDefault="0042145D" w:rsidP="009D5684">
            <w:pPr>
              <w:jc w:val="right"/>
              <w:rPr>
                <w:rFonts w:ascii="Times New Roman" w:hAnsi="Times New Roman" w:cs="Times New Roman"/>
                <w:sz w:val="20"/>
                <w:szCs w:val="20"/>
              </w:rPr>
            </w:pPr>
            <w:r w:rsidRPr="003C18F1">
              <w:rPr>
                <w:rFonts w:ascii="Times New Roman" w:hAnsi="Times New Roman" w:cs="Times New Roman"/>
                <w:sz w:val="20"/>
                <w:szCs w:val="20"/>
              </w:rPr>
              <w:t>58</w:t>
            </w:r>
            <w:r w:rsidR="003C18F1">
              <w:rPr>
                <w:rFonts w:ascii="Times New Roman" w:hAnsi="Times New Roman" w:cs="Times New Roman"/>
                <w:sz w:val="20"/>
                <w:szCs w:val="20"/>
              </w:rPr>
              <w:t>.</w:t>
            </w:r>
            <w:r w:rsidRPr="003C18F1">
              <w:rPr>
                <w:rFonts w:ascii="Times New Roman" w:hAnsi="Times New Roman" w:cs="Times New Roman"/>
                <w:sz w:val="20"/>
                <w:szCs w:val="20"/>
              </w:rPr>
              <w:t>12</w:t>
            </w:r>
          </w:p>
        </w:tc>
        <w:tc>
          <w:tcPr>
            <w:tcW w:w="851" w:type="dxa"/>
            <w:tcBorders>
              <w:top w:val="single" w:sz="12" w:space="0" w:color="auto"/>
              <w:bottom w:val="single" w:sz="4" w:space="0" w:color="auto"/>
            </w:tcBorders>
            <w:vAlign w:val="center"/>
          </w:tcPr>
          <w:p w:rsidR="0042145D" w:rsidRPr="003C18F1" w:rsidRDefault="0042145D" w:rsidP="009D5684">
            <w:pPr>
              <w:jc w:val="right"/>
              <w:rPr>
                <w:rFonts w:ascii="Times New Roman" w:hAnsi="Times New Roman" w:cs="Times New Roman"/>
                <w:sz w:val="20"/>
                <w:szCs w:val="20"/>
              </w:rPr>
            </w:pPr>
            <w:r w:rsidRPr="003C18F1">
              <w:rPr>
                <w:rFonts w:ascii="Times New Roman" w:hAnsi="Times New Roman" w:cs="Times New Roman"/>
                <w:sz w:val="20"/>
                <w:szCs w:val="20"/>
              </w:rPr>
              <w:t>63</w:t>
            </w:r>
            <w:r w:rsidR="003C18F1">
              <w:rPr>
                <w:rFonts w:ascii="Times New Roman" w:hAnsi="Times New Roman" w:cs="Times New Roman"/>
                <w:sz w:val="20"/>
                <w:szCs w:val="20"/>
              </w:rPr>
              <w:t>.</w:t>
            </w:r>
            <w:r w:rsidRPr="003C18F1">
              <w:rPr>
                <w:rFonts w:ascii="Times New Roman" w:hAnsi="Times New Roman" w:cs="Times New Roman"/>
                <w:sz w:val="20"/>
                <w:szCs w:val="20"/>
              </w:rPr>
              <w:t>71</w:t>
            </w:r>
          </w:p>
        </w:tc>
        <w:tc>
          <w:tcPr>
            <w:tcW w:w="850" w:type="dxa"/>
            <w:tcBorders>
              <w:top w:val="single" w:sz="12" w:space="0" w:color="auto"/>
              <w:bottom w:val="single" w:sz="4" w:space="0" w:color="auto"/>
            </w:tcBorders>
            <w:vAlign w:val="center"/>
          </w:tcPr>
          <w:p w:rsidR="0042145D" w:rsidRPr="003C18F1" w:rsidRDefault="0042145D" w:rsidP="009D5684">
            <w:pPr>
              <w:jc w:val="right"/>
              <w:rPr>
                <w:rFonts w:ascii="Times New Roman" w:hAnsi="Times New Roman" w:cs="Times New Roman"/>
                <w:sz w:val="20"/>
                <w:szCs w:val="20"/>
              </w:rPr>
            </w:pPr>
            <w:r w:rsidRPr="003C18F1">
              <w:rPr>
                <w:rFonts w:ascii="Times New Roman" w:hAnsi="Times New Roman" w:cs="Times New Roman"/>
                <w:sz w:val="20"/>
                <w:szCs w:val="20"/>
              </w:rPr>
              <w:t>67</w:t>
            </w:r>
            <w:r w:rsidR="003C18F1">
              <w:rPr>
                <w:rFonts w:ascii="Times New Roman" w:hAnsi="Times New Roman" w:cs="Times New Roman"/>
                <w:sz w:val="20"/>
                <w:szCs w:val="20"/>
              </w:rPr>
              <w:t>.</w:t>
            </w:r>
            <w:r w:rsidRPr="003C18F1">
              <w:rPr>
                <w:rFonts w:ascii="Times New Roman" w:hAnsi="Times New Roman" w:cs="Times New Roman"/>
                <w:sz w:val="20"/>
                <w:szCs w:val="20"/>
              </w:rPr>
              <w:t>61</w:t>
            </w:r>
          </w:p>
        </w:tc>
        <w:tc>
          <w:tcPr>
            <w:tcW w:w="851" w:type="dxa"/>
            <w:tcBorders>
              <w:top w:val="single" w:sz="12" w:space="0" w:color="auto"/>
              <w:bottom w:val="single" w:sz="4" w:space="0" w:color="auto"/>
            </w:tcBorders>
            <w:vAlign w:val="center"/>
          </w:tcPr>
          <w:p w:rsidR="0042145D" w:rsidRPr="003C18F1" w:rsidRDefault="0042145D" w:rsidP="009D5684">
            <w:pPr>
              <w:jc w:val="right"/>
              <w:rPr>
                <w:rFonts w:ascii="Times New Roman" w:hAnsi="Times New Roman" w:cs="Times New Roman"/>
                <w:sz w:val="20"/>
                <w:szCs w:val="20"/>
              </w:rPr>
            </w:pPr>
            <w:r w:rsidRPr="003C18F1">
              <w:rPr>
                <w:rFonts w:ascii="Times New Roman" w:hAnsi="Times New Roman" w:cs="Times New Roman"/>
                <w:sz w:val="20"/>
                <w:szCs w:val="20"/>
              </w:rPr>
              <w:t>73</w:t>
            </w:r>
            <w:r w:rsidR="003C18F1">
              <w:rPr>
                <w:rFonts w:ascii="Times New Roman" w:hAnsi="Times New Roman" w:cs="Times New Roman"/>
                <w:sz w:val="20"/>
                <w:szCs w:val="20"/>
              </w:rPr>
              <w:t>.</w:t>
            </w:r>
            <w:r w:rsidRPr="003C18F1">
              <w:rPr>
                <w:rFonts w:ascii="Times New Roman" w:hAnsi="Times New Roman" w:cs="Times New Roman"/>
                <w:sz w:val="20"/>
                <w:szCs w:val="20"/>
              </w:rPr>
              <w:t>44</w:t>
            </w:r>
          </w:p>
        </w:tc>
        <w:tc>
          <w:tcPr>
            <w:tcW w:w="920" w:type="dxa"/>
            <w:tcBorders>
              <w:top w:val="single" w:sz="12" w:space="0" w:color="auto"/>
              <w:bottom w:val="single" w:sz="4" w:space="0" w:color="auto"/>
            </w:tcBorders>
            <w:vAlign w:val="center"/>
          </w:tcPr>
          <w:p w:rsidR="0042145D" w:rsidRPr="003C18F1" w:rsidRDefault="0042145D" w:rsidP="009D5684">
            <w:pPr>
              <w:jc w:val="right"/>
              <w:rPr>
                <w:rFonts w:ascii="Times New Roman" w:hAnsi="Times New Roman" w:cs="Times New Roman"/>
                <w:sz w:val="20"/>
                <w:szCs w:val="20"/>
              </w:rPr>
            </w:pPr>
            <w:r w:rsidRPr="003C18F1">
              <w:rPr>
                <w:rFonts w:ascii="Times New Roman" w:hAnsi="Times New Roman" w:cs="Times New Roman"/>
                <w:sz w:val="20"/>
                <w:szCs w:val="20"/>
              </w:rPr>
              <w:t>77</w:t>
            </w:r>
            <w:r w:rsidR="003C18F1">
              <w:rPr>
                <w:rFonts w:ascii="Times New Roman" w:hAnsi="Times New Roman" w:cs="Times New Roman"/>
                <w:sz w:val="20"/>
                <w:szCs w:val="20"/>
              </w:rPr>
              <w:t>.</w:t>
            </w:r>
            <w:r w:rsidRPr="003C18F1">
              <w:rPr>
                <w:rFonts w:ascii="Times New Roman" w:hAnsi="Times New Roman" w:cs="Times New Roman"/>
                <w:sz w:val="20"/>
                <w:szCs w:val="20"/>
              </w:rPr>
              <w:t>43</w:t>
            </w:r>
          </w:p>
        </w:tc>
      </w:tr>
      <w:tr w:rsidR="0042145D" w:rsidRPr="003C18F1" w:rsidTr="003C18F1">
        <w:trPr>
          <w:jc w:val="center"/>
        </w:trPr>
        <w:tc>
          <w:tcPr>
            <w:tcW w:w="4039" w:type="dxa"/>
            <w:tcBorders>
              <w:top w:val="single" w:sz="4" w:space="0" w:color="auto"/>
              <w:right w:val="single" w:sz="12" w:space="0" w:color="auto"/>
            </w:tcBorders>
            <w:vAlign w:val="center"/>
          </w:tcPr>
          <w:p w:rsidR="0042145D" w:rsidRPr="003C18F1" w:rsidRDefault="0042145D" w:rsidP="00C76E04">
            <w:pPr>
              <w:rPr>
                <w:rFonts w:ascii="Times New Roman" w:hAnsi="Times New Roman" w:cs="Times New Roman"/>
                <w:sz w:val="20"/>
                <w:szCs w:val="20"/>
              </w:rPr>
            </w:pPr>
            <w:r w:rsidRPr="003C18F1">
              <w:rPr>
                <w:rFonts w:ascii="Times New Roman" w:hAnsi="Times New Roman" w:cs="Times New Roman"/>
                <w:sz w:val="20"/>
                <w:szCs w:val="20"/>
              </w:rPr>
              <w:t>Сценарий 3 – Конвергенция само между страните на ЕС при ниска въглеродна интензивност</w:t>
            </w:r>
          </w:p>
        </w:tc>
        <w:tc>
          <w:tcPr>
            <w:tcW w:w="851" w:type="dxa"/>
            <w:tcBorders>
              <w:top w:val="single" w:sz="4" w:space="0" w:color="auto"/>
              <w:left w:val="single" w:sz="12" w:space="0" w:color="auto"/>
            </w:tcBorders>
            <w:vAlign w:val="center"/>
          </w:tcPr>
          <w:p w:rsidR="0042145D" w:rsidRPr="003C18F1" w:rsidRDefault="0042145D" w:rsidP="009D5684">
            <w:pPr>
              <w:jc w:val="right"/>
              <w:rPr>
                <w:rFonts w:ascii="Times New Roman" w:hAnsi="Times New Roman" w:cs="Times New Roman"/>
                <w:sz w:val="20"/>
                <w:szCs w:val="20"/>
              </w:rPr>
            </w:pPr>
          </w:p>
        </w:tc>
        <w:tc>
          <w:tcPr>
            <w:tcW w:w="850" w:type="dxa"/>
            <w:tcBorders>
              <w:top w:val="single" w:sz="4" w:space="0" w:color="auto"/>
            </w:tcBorders>
            <w:vAlign w:val="center"/>
          </w:tcPr>
          <w:p w:rsidR="0042145D" w:rsidRPr="003C18F1" w:rsidRDefault="0042145D" w:rsidP="009D5684">
            <w:pPr>
              <w:jc w:val="right"/>
              <w:rPr>
                <w:rFonts w:ascii="Times New Roman" w:hAnsi="Times New Roman" w:cs="Times New Roman"/>
                <w:sz w:val="20"/>
                <w:szCs w:val="20"/>
              </w:rPr>
            </w:pPr>
            <w:r w:rsidRPr="003C18F1">
              <w:rPr>
                <w:rFonts w:ascii="Times New Roman" w:hAnsi="Times New Roman" w:cs="Times New Roman"/>
                <w:sz w:val="20"/>
                <w:szCs w:val="20"/>
              </w:rPr>
              <w:t>57</w:t>
            </w:r>
            <w:r w:rsidR="003C18F1">
              <w:rPr>
                <w:rFonts w:ascii="Times New Roman" w:hAnsi="Times New Roman" w:cs="Times New Roman"/>
                <w:sz w:val="20"/>
                <w:szCs w:val="20"/>
              </w:rPr>
              <w:t>.</w:t>
            </w:r>
            <w:r w:rsidRPr="003C18F1">
              <w:rPr>
                <w:rFonts w:ascii="Times New Roman" w:hAnsi="Times New Roman" w:cs="Times New Roman"/>
                <w:sz w:val="20"/>
                <w:szCs w:val="20"/>
              </w:rPr>
              <w:t>51</w:t>
            </w:r>
          </w:p>
        </w:tc>
        <w:tc>
          <w:tcPr>
            <w:tcW w:w="851" w:type="dxa"/>
            <w:tcBorders>
              <w:top w:val="single" w:sz="4" w:space="0" w:color="auto"/>
            </w:tcBorders>
            <w:vAlign w:val="center"/>
          </w:tcPr>
          <w:p w:rsidR="0042145D" w:rsidRPr="003C18F1" w:rsidRDefault="0042145D" w:rsidP="009D5684">
            <w:pPr>
              <w:jc w:val="right"/>
              <w:rPr>
                <w:rFonts w:ascii="Times New Roman" w:hAnsi="Times New Roman" w:cs="Times New Roman"/>
                <w:sz w:val="20"/>
                <w:szCs w:val="20"/>
              </w:rPr>
            </w:pPr>
            <w:r w:rsidRPr="003C18F1">
              <w:rPr>
                <w:rFonts w:ascii="Times New Roman" w:hAnsi="Times New Roman" w:cs="Times New Roman"/>
                <w:sz w:val="20"/>
                <w:szCs w:val="20"/>
              </w:rPr>
              <w:t>62</w:t>
            </w:r>
            <w:r w:rsidR="003C18F1">
              <w:rPr>
                <w:rFonts w:ascii="Times New Roman" w:hAnsi="Times New Roman" w:cs="Times New Roman"/>
                <w:sz w:val="20"/>
                <w:szCs w:val="20"/>
              </w:rPr>
              <w:t>.</w:t>
            </w:r>
            <w:r w:rsidRPr="003C18F1">
              <w:rPr>
                <w:rFonts w:ascii="Times New Roman" w:hAnsi="Times New Roman" w:cs="Times New Roman"/>
                <w:sz w:val="20"/>
                <w:szCs w:val="20"/>
              </w:rPr>
              <w:t>47</w:t>
            </w:r>
          </w:p>
        </w:tc>
        <w:tc>
          <w:tcPr>
            <w:tcW w:w="850" w:type="dxa"/>
            <w:tcBorders>
              <w:top w:val="single" w:sz="4" w:space="0" w:color="auto"/>
            </w:tcBorders>
            <w:vAlign w:val="center"/>
          </w:tcPr>
          <w:p w:rsidR="0042145D" w:rsidRPr="003C18F1" w:rsidRDefault="0042145D" w:rsidP="009D5684">
            <w:pPr>
              <w:jc w:val="right"/>
              <w:rPr>
                <w:rFonts w:ascii="Times New Roman" w:hAnsi="Times New Roman" w:cs="Times New Roman"/>
                <w:sz w:val="20"/>
                <w:szCs w:val="20"/>
              </w:rPr>
            </w:pPr>
            <w:r w:rsidRPr="003C18F1">
              <w:rPr>
                <w:rFonts w:ascii="Times New Roman" w:hAnsi="Times New Roman" w:cs="Times New Roman"/>
                <w:sz w:val="20"/>
                <w:szCs w:val="20"/>
              </w:rPr>
              <w:t>66</w:t>
            </w:r>
            <w:r w:rsidR="003C18F1">
              <w:rPr>
                <w:rFonts w:ascii="Times New Roman" w:hAnsi="Times New Roman" w:cs="Times New Roman"/>
                <w:sz w:val="20"/>
                <w:szCs w:val="20"/>
              </w:rPr>
              <w:t>.</w:t>
            </w:r>
            <w:r w:rsidRPr="003C18F1">
              <w:rPr>
                <w:rFonts w:ascii="Times New Roman" w:hAnsi="Times New Roman" w:cs="Times New Roman"/>
                <w:sz w:val="20"/>
                <w:szCs w:val="20"/>
              </w:rPr>
              <w:t>07</w:t>
            </w:r>
          </w:p>
        </w:tc>
        <w:tc>
          <w:tcPr>
            <w:tcW w:w="851" w:type="dxa"/>
            <w:tcBorders>
              <w:top w:val="single" w:sz="4" w:space="0" w:color="auto"/>
            </w:tcBorders>
            <w:vAlign w:val="center"/>
          </w:tcPr>
          <w:p w:rsidR="0042145D" w:rsidRPr="003C18F1" w:rsidRDefault="0042145D" w:rsidP="009D5684">
            <w:pPr>
              <w:jc w:val="right"/>
              <w:rPr>
                <w:rFonts w:ascii="Times New Roman" w:hAnsi="Times New Roman" w:cs="Times New Roman"/>
                <w:sz w:val="20"/>
                <w:szCs w:val="20"/>
              </w:rPr>
            </w:pPr>
            <w:r w:rsidRPr="003C18F1">
              <w:rPr>
                <w:rFonts w:ascii="Times New Roman" w:hAnsi="Times New Roman" w:cs="Times New Roman"/>
                <w:sz w:val="20"/>
                <w:szCs w:val="20"/>
              </w:rPr>
              <w:t>71</w:t>
            </w:r>
            <w:r w:rsidR="003C18F1">
              <w:rPr>
                <w:rFonts w:ascii="Times New Roman" w:hAnsi="Times New Roman" w:cs="Times New Roman"/>
                <w:sz w:val="20"/>
                <w:szCs w:val="20"/>
              </w:rPr>
              <w:t>.</w:t>
            </w:r>
            <w:r w:rsidRPr="003C18F1">
              <w:rPr>
                <w:rFonts w:ascii="Times New Roman" w:hAnsi="Times New Roman" w:cs="Times New Roman"/>
                <w:sz w:val="20"/>
                <w:szCs w:val="20"/>
              </w:rPr>
              <w:t>39</w:t>
            </w:r>
          </w:p>
        </w:tc>
        <w:tc>
          <w:tcPr>
            <w:tcW w:w="920" w:type="dxa"/>
            <w:tcBorders>
              <w:top w:val="single" w:sz="4" w:space="0" w:color="auto"/>
            </w:tcBorders>
            <w:vAlign w:val="center"/>
          </w:tcPr>
          <w:p w:rsidR="0042145D" w:rsidRPr="003C18F1" w:rsidRDefault="0042145D" w:rsidP="009D5684">
            <w:pPr>
              <w:jc w:val="right"/>
              <w:rPr>
                <w:rFonts w:ascii="Times New Roman" w:hAnsi="Times New Roman" w:cs="Times New Roman"/>
                <w:sz w:val="20"/>
                <w:szCs w:val="20"/>
              </w:rPr>
            </w:pPr>
            <w:r w:rsidRPr="003C18F1">
              <w:rPr>
                <w:rFonts w:ascii="Times New Roman" w:hAnsi="Times New Roman" w:cs="Times New Roman"/>
                <w:sz w:val="20"/>
                <w:szCs w:val="20"/>
              </w:rPr>
              <w:t>75</w:t>
            </w:r>
            <w:r w:rsidR="003C18F1">
              <w:rPr>
                <w:rFonts w:ascii="Times New Roman" w:hAnsi="Times New Roman" w:cs="Times New Roman"/>
                <w:sz w:val="20"/>
                <w:szCs w:val="20"/>
              </w:rPr>
              <w:t>.</w:t>
            </w:r>
            <w:r w:rsidRPr="003C18F1">
              <w:rPr>
                <w:rFonts w:ascii="Times New Roman" w:hAnsi="Times New Roman" w:cs="Times New Roman"/>
                <w:sz w:val="20"/>
                <w:szCs w:val="20"/>
              </w:rPr>
              <w:t>12</w:t>
            </w:r>
          </w:p>
        </w:tc>
      </w:tr>
      <w:tr w:rsidR="00D51BB1" w:rsidRPr="003C18F1" w:rsidTr="003C18F1">
        <w:trPr>
          <w:jc w:val="center"/>
        </w:trPr>
        <w:tc>
          <w:tcPr>
            <w:tcW w:w="4039" w:type="dxa"/>
            <w:tcBorders>
              <w:right w:val="single" w:sz="12" w:space="0" w:color="auto"/>
            </w:tcBorders>
            <w:vAlign w:val="center"/>
          </w:tcPr>
          <w:p w:rsidR="00D51BB1" w:rsidRPr="003C18F1" w:rsidRDefault="00D51BB1" w:rsidP="00D51BB1">
            <w:pPr>
              <w:rPr>
                <w:rFonts w:ascii="Times New Roman" w:hAnsi="Times New Roman" w:cs="Times New Roman"/>
                <w:sz w:val="20"/>
                <w:szCs w:val="20"/>
              </w:rPr>
            </w:pPr>
            <w:r w:rsidRPr="003C18F1">
              <w:rPr>
                <w:rFonts w:ascii="Times New Roman" w:hAnsi="Times New Roman" w:cs="Times New Roman"/>
                <w:sz w:val="20"/>
                <w:szCs w:val="20"/>
              </w:rPr>
              <w:t>Сценарий 4 – Конвергенция само между страните на ЕС при висока въглеродна интензивност</w:t>
            </w:r>
          </w:p>
        </w:tc>
        <w:tc>
          <w:tcPr>
            <w:tcW w:w="851" w:type="dxa"/>
            <w:tcBorders>
              <w:left w:val="single" w:sz="12" w:space="0" w:color="auto"/>
            </w:tcBorders>
            <w:vAlign w:val="center"/>
          </w:tcPr>
          <w:p w:rsidR="00D51BB1" w:rsidRPr="003C18F1" w:rsidRDefault="00D51BB1" w:rsidP="009D5684">
            <w:pPr>
              <w:jc w:val="right"/>
              <w:rPr>
                <w:rFonts w:ascii="Times New Roman" w:hAnsi="Times New Roman" w:cs="Times New Roman"/>
                <w:sz w:val="20"/>
                <w:szCs w:val="20"/>
              </w:rPr>
            </w:pPr>
          </w:p>
        </w:tc>
        <w:tc>
          <w:tcPr>
            <w:tcW w:w="850" w:type="dxa"/>
            <w:vAlign w:val="center"/>
          </w:tcPr>
          <w:p w:rsidR="00D51BB1" w:rsidRPr="003C18F1" w:rsidRDefault="00D51BB1" w:rsidP="009D5684">
            <w:pPr>
              <w:jc w:val="right"/>
              <w:rPr>
                <w:rFonts w:ascii="Times New Roman" w:hAnsi="Times New Roman" w:cs="Times New Roman"/>
                <w:sz w:val="20"/>
                <w:szCs w:val="20"/>
              </w:rPr>
            </w:pPr>
            <w:r w:rsidRPr="003C18F1">
              <w:rPr>
                <w:rFonts w:ascii="Times New Roman" w:hAnsi="Times New Roman" w:cs="Times New Roman"/>
                <w:sz w:val="20"/>
                <w:szCs w:val="20"/>
              </w:rPr>
              <w:t>58</w:t>
            </w:r>
            <w:r w:rsidR="003C18F1">
              <w:rPr>
                <w:rFonts w:ascii="Times New Roman" w:hAnsi="Times New Roman" w:cs="Times New Roman"/>
                <w:sz w:val="20"/>
                <w:szCs w:val="20"/>
              </w:rPr>
              <w:t>.</w:t>
            </w:r>
            <w:r w:rsidRPr="003C18F1">
              <w:rPr>
                <w:rFonts w:ascii="Times New Roman" w:hAnsi="Times New Roman" w:cs="Times New Roman"/>
                <w:sz w:val="20"/>
                <w:szCs w:val="20"/>
              </w:rPr>
              <w:t>74</w:t>
            </w:r>
          </w:p>
        </w:tc>
        <w:tc>
          <w:tcPr>
            <w:tcW w:w="851" w:type="dxa"/>
            <w:vAlign w:val="center"/>
          </w:tcPr>
          <w:p w:rsidR="00D51BB1" w:rsidRPr="003C18F1" w:rsidRDefault="00D51BB1" w:rsidP="009D5684">
            <w:pPr>
              <w:jc w:val="right"/>
              <w:rPr>
                <w:rFonts w:ascii="Times New Roman" w:hAnsi="Times New Roman" w:cs="Times New Roman"/>
                <w:sz w:val="20"/>
                <w:szCs w:val="20"/>
              </w:rPr>
            </w:pPr>
            <w:r w:rsidRPr="003C18F1">
              <w:rPr>
                <w:rFonts w:ascii="Times New Roman" w:hAnsi="Times New Roman" w:cs="Times New Roman"/>
                <w:sz w:val="20"/>
                <w:szCs w:val="20"/>
              </w:rPr>
              <w:t>64</w:t>
            </w:r>
            <w:r w:rsidR="003C18F1">
              <w:rPr>
                <w:rFonts w:ascii="Times New Roman" w:hAnsi="Times New Roman" w:cs="Times New Roman"/>
                <w:sz w:val="20"/>
                <w:szCs w:val="20"/>
              </w:rPr>
              <w:t>.</w:t>
            </w:r>
            <w:r w:rsidRPr="003C18F1">
              <w:rPr>
                <w:rFonts w:ascii="Times New Roman" w:hAnsi="Times New Roman" w:cs="Times New Roman"/>
                <w:sz w:val="20"/>
                <w:szCs w:val="20"/>
              </w:rPr>
              <w:t>94</w:t>
            </w:r>
          </w:p>
        </w:tc>
        <w:tc>
          <w:tcPr>
            <w:tcW w:w="850" w:type="dxa"/>
            <w:vAlign w:val="center"/>
          </w:tcPr>
          <w:p w:rsidR="00D51BB1" w:rsidRPr="003C18F1" w:rsidRDefault="00D51BB1" w:rsidP="009D5684">
            <w:pPr>
              <w:jc w:val="right"/>
              <w:rPr>
                <w:rFonts w:ascii="Times New Roman" w:hAnsi="Times New Roman" w:cs="Times New Roman"/>
                <w:sz w:val="20"/>
                <w:szCs w:val="20"/>
              </w:rPr>
            </w:pPr>
            <w:r w:rsidRPr="003C18F1">
              <w:rPr>
                <w:rFonts w:ascii="Times New Roman" w:hAnsi="Times New Roman" w:cs="Times New Roman"/>
                <w:sz w:val="20"/>
                <w:szCs w:val="20"/>
              </w:rPr>
              <w:t>69</w:t>
            </w:r>
            <w:r w:rsidR="003C18F1">
              <w:rPr>
                <w:rFonts w:ascii="Times New Roman" w:hAnsi="Times New Roman" w:cs="Times New Roman"/>
                <w:sz w:val="20"/>
                <w:szCs w:val="20"/>
              </w:rPr>
              <w:t>.</w:t>
            </w:r>
            <w:r w:rsidRPr="003C18F1">
              <w:rPr>
                <w:rFonts w:ascii="Times New Roman" w:hAnsi="Times New Roman" w:cs="Times New Roman"/>
                <w:sz w:val="20"/>
                <w:szCs w:val="20"/>
              </w:rPr>
              <w:t>15</w:t>
            </w:r>
          </w:p>
        </w:tc>
        <w:tc>
          <w:tcPr>
            <w:tcW w:w="851" w:type="dxa"/>
            <w:vAlign w:val="center"/>
          </w:tcPr>
          <w:p w:rsidR="00D51BB1" w:rsidRPr="003C18F1" w:rsidRDefault="00D51BB1" w:rsidP="009D5684">
            <w:pPr>
              <w:jc w:val="right"/>
              <w:rPr>
                <w:rFonts w:ascii="Times New Roman" w:hAnsi="Times New Roman" w:cs="Times New Roman"/>
                <w:sz w:val="20"/>
                <w:szCs w:val="20"/>
              </w:rPr>
            </w:pPr>
            <w:r w:rsidRPr="003C18F1">
              <w:rPr>
                <w:rFonts w:ascii="Times New Roman" w:hAnsi="Times New Roman" w:cs="Times New Roman"/>
                <w:sz w:val="20"/>
                <w:szCs w:val="20"/>
              </w:rPr>
              <w:t>75</w:t>
            </w:r>
            <w:r w:rsidR="003C18F1">
              <w:rPr>
                <w:rFonts w:ascii="Times New Roman" w:hAnsi="Times New Roman" w:cs="Times New Roman"/>
                <w:sz w:val="20"/>
                <w:szCs w:val="20"/>
              </w:rPr>
              <w:t>.</w:t>
            </w:r>
            <w:r w:rsidRPr="003C18F1">
              <w:rPr>
                <w:rFonts w:ascii="Times New Roman" w:hAnsi="Times New Roman" w:cs="Times New Roman"/>
                <w:sz w:val="20"/>
                <w:szCs w:val="20"/>
              </w:rPr>
              <w:t>49</w:t>
            </w:r>
          </w:p>
        </w:tc>
        <w:tc>
          <w:tcPr>
            <w:tcW w:w="920" w:type="dxa"/>
            <w:vAlign w:val="center"/>
          </w:tcPr>
          <w:p w:rsidR="00D51BB1" w:rsidRPr="003C18F1" w:rsidRDefault="00D51BB1" w:rsidP="009D5684">
            <w:pPr>
              <w:jc w:val="right"/>
              <w:rPr>
                <w:rFonts w:ascii="Times New Roman" w:hAnsi="Times New Roman" w:cs="Times New Roman"/>
                <w:sz w:val="20"/>
                <w:szCs w:val="20"/>
              </w:rPr>
            </w:pPr>
            <w:r w:rsidRPr="003C18F1">
              <w:rPr>
                <w:rFonts w:ascii="Times New Roman" w:hAnsi="Times New Roman" w:cs="Times New Roman"/>
                <w:sz w:val="20"/>
                <w:szCs w:val="20"/>
              </w:rPr>
              <w:t>79</w:t>
            </w:r>
            <w:r w:rsidR="003C18F1">
              <w:rPr>
                <w:rFonts w:ascii="Times New Roman" w:hAnsi="Times New Roman" w:cs="Times New Roman"/>
                <w:sz w:val="20"/>
                <w:szCs w:val="20"/>
              </w:rPr>
              <w:t>.</w:t>
            </w:r>
            <w:r w:rsidRPr="003C18F1">
              <w:rPr>
                <w:rFonts w:ascii="Times New Roman" w:hAnsi="Times New Roman" w:cs="Times New Roman"/>
                <w:sz w:val="20"/>
                <w:szCs w:val="20"/>
              </w:rPr>
              <w:t>74</w:t>
            </w:r>
          </w:p>
        </w:tc>
      </w:tr>
      <w:tr w:rsidR="0042145D" w:rsidRPr="003C18F1" w:rsidTr="003C18F1">
        <w:trPr>
          <w:jc w:val="center"/>
        </w:trPr>
        <w:tc>
          <w:tcPr>
            <w:tcW w:w="4039" w:type="dxa"/>
            <w:tcBorders>
              <w:right w:val="single" w:sz="12" w:space="0" w:color="auto"/>
            </w:tcBorders>
            <w:vAlign w:val="center"/>
          </w:tcPr>
          <w:p w:rsidR="0042145D" w:rsidRPr="003C18F1" w:rsidRDefault="00D51BB1" w:rsidP="00C76E04">
            <w:pPr>
              <w:rPr>
                <w:rFonts w:ascii="Times New Roman" w:hAnsi="Times New Roman" w:cs="Times New Roman"/>
                <w:sz w:val="20"/>
                <w:szCs w:val="20"/>
              </w:rPr>
            </w:pPr>
            <w:r w:rsidRPr="003C18F1">
              <w:rPr>
                <w:rFonts w:ascii="Times New Roman" w:hAnsi="Times New Roman" w:cs="Times New Roman"/>
                <w:sz w:val="20"/>
                <w:szCs w:val="20"/>
              </w:rPr>
              <w:t>Среднопретеглена регионална цена само за България, Гърция, Румъния, Унгария и частично за Сърбия и Турция</w:t>
            </w:r>
          </w:p>
        </w:tc>
        <w:tc>
          <w:tcPr>
            <w:tcW w:w="851" w:type="dxa"/>
            <w:tcBorders>
              <w:left w:val="single" w:sz="12" w:space="0" w:color="auto"/>
            </w:tcBorders>
            <w:vAlign w:val="center"/>
          </w:tcPr>
          <w:p w:rsidR="0042145D" w:rsidRPr="003C18F1" w:rsidRDefault="00D51BB1" w:rsidP="009D5684">
            <w:pPr>
              <w:jc w:val="right"/>
              <w:rPr>
                <w:rFonts w:ascii="Times New Roman" w:hAnsi="Times New Roman" w:cs="Times New Roman"/>
                <w:sz w:val="20"/>
                <w:szCs w:val="20"/>
              </w:rPr>
            </w:pPr>
            <w:r w:rsidRPr="003C18F1">
              <w:rPr>
                <w:rFonts w:ascii="Times New Roman" w:hAnsi="Times New Roman" w:cs="Times New Roman"/>
                <w:sz w:val="20"/>
                <w:szCs w:val="20"/>
              </w:rPr>
              <w:t>39</w:t>
            </w:r>
            <w:r w:rsidR="003C18F1">
              <w:rPr>
                <w:rFonts w:ascii="Times New Roman" w:hAnsi="Times New Roman" w:cs="Times New Roman"/>
                <w:sz w:val="20"/>
                <w:szCs w:val="20"/>
              </w:rPr>
              <w:t>.</w:t>
            </w:r>
            <w:r w:rsidRPr="003C18F1">
              <w:rPr>
                <w:rFonts w:ascii="Times New Roman" w:hAnsi="Times New Roman" w:cs="Times New Roman"/>
                <w:sz w:val="20"/>
                <w:szCs w:val="20"/>
              </w:rPr>
              <w:t>66</w:t>
            </w:r>
          </w:p>
        </w:tc>
        <w:tc>
          <w:tcPr>
            <w:tcW w:w="850" w:type="dxa"/>
            <w:vAlign w:val="center"/>
          </w:tcPr>
          <w:p w:rsidR="0042145D" w:rsidRPr="003C18F1" w:rsidRDefault="00D51BB1" w:rsidP="009D5684">
            <w:pPr>
              <w:jc w:val="right"/>
              <w:rPr>
                <w:rFonts w:ascii="Times New Roman" w:hAnsi="Times New Roman" w:cs="Times New Roman"/>
                <w:sz w:val="20"/>
                <w:szCs w:val="20"/>
              </w:rPr>
            </w:pPr>
            <w:r w:rsidRPr="003C18F1">
              <w:rPr>
                <w:rFonts w:ascii="Times New Roman" w:hAnsi="Times New Roman" w:cs="Times New Roman"/>
                <w:sz w:val="20"/>
                <w:szCs w:val="20"/>
              </w:rPr>
              <w:t>59</w:t>
            </w:r>
            <w:r w:rsidR="003C18F1">
              <w:rPr>
                <w:rFonts w:ascii="Times New Roman" w:hAnsi="Times New Roman" w:cs="Times New Roman"/>
                <w:sz w:val="20"/>
                <w:szCs w:val="20"/>
              </w:rPr>
              <w:t>.</w:t>
            </w:r>
            <w:r w:rsidRPr="003C18F1">
              <w:rPr>
                <w:rFonts w:ascii="Times New Roman" w:hAnsi="Times New Roman" w:cs="Times New Roman"/>
                <w:sz w:val="20"/>
                <w:szCs w:val="20"/>
              </w:rPr>
              <w:t>13</w:t>
            </w:r>
          </w:p>
        </w:tc>
        <w:tc>
          <w:tcPr>
            <w:tcW w:w="851" w:type="dxa"/>
            <w:vAlign w:val="center"/>
          </w:tcPr>
          <w:p w:rsidR="0042145D" w:rsidRPr="003C18F1" w:rsidRDefault="00D51BB1" w:rsidP="009D5684">
            <w:pPr>
              <w:jc w:val="right"/>
              <w:rPr>
                <w:rFonts w:ascii="Times New Roman" w:hAnsi="Times New Roman" w:cs="Times New Roman"/>
                <w:sz w:val="20"/>
                <w:szCs w:val="20"/>
              </w:rPr>
            </w:pPr>
            <w:r w:rsidRPr="003C18F1">
              <w:rPr>
                <w:rFonts w:ascii="Times New Roman" w:hAnsi="Times New Roman" w:cs="Times New Roman"/>
                <w:sz w:val="20"/>
                <w:szCs w:val="20"/>
              </w:rPr>
              <w:t>65</w:t>
            </w:r>
            <w:r w:rsidR="003C18F1">
              <w:rPr>
                <w:rFonts w:ascii="Times New Roman" w:hAnsi="Times New Roman" w:cs="Times New Roman"/>
                <w:sz w:val="20"/>
                <w:szCs w:val="20"/>
              </w:rPr>
              <w:t>.</w:t>
            </w:r>
            <w:r w:rsidRPr="003C18F1">
              <w:rPr>
                <w:rFonts w:ascii="Times New Roman" w:hAnsi="Times New Roman" w:cs="Times New Roman"/>
                <w:sz w:val="20"/>
                <w:szCs w:val="20"/>
              </w:rPr>
              <w:t>07</w:t>
            </w:r>
          </w:p>
        </w:tc>
        <w:tc>
          <w:tcPr>
            <w:tcW w:w="850" w:type="dxa"/>
            <w:vAlign w:val="center"/>
          </w:tcPr>
          <w:p w:rsidR="0042145D" w:rsidRPr="003C18F1" w:rsidRDefault="00D51BB1" w:rsidP="009D5684">
            <w:pPr>
              <w:jc w:val="right"/>
              <w:rPr>
                <w:rFonts w:ascii="Times New Roman" w:hAnsi="Times New Roman" w:cs="Times New Roman"/>
                <w:sz w:val="20"/>
                <w:szCs w:val="20"/>
              </w:rPr>
            </w:pPr>
            <w:r w:rsidRPr="003C18F1">
              <w:rPr>
                <w:rFonts w:ascii="Times New Roman" w:hAnsi="Times New Roman" w:cs="Times New Roman"/>
                <w:sz w:val="20"/>
                <w:szCs w:val="20"/>
              </w:rPr>
              <w:t>68</w:t>
            </w:r>
            <w:r w:rsidR="003C18F1">
              <w:rPr>
                <w:rFonts w:ascii="Times New Roman" w:hAnsi="Times New Roman" w:cs="Times New Roman"/>
                <w:sz w:val="20"/>
                <w:szCs w:val="20"/>
              </w:rPr>
              <w:t>.</w:t>
            </w:r>
            <w:r w:rsidRPr="003C18F1">
              <w:rPr>
                <w:rFonts w:ascii="Times New Roman" w:hAnsi="Times New Roman" w:cs="Times New Roman"/>
                <w:sz w:val="20"/>
                <w:szCs w:val="20"/>
              </w:rPr>
              <w:t>93</w:t>
            </w:r>
          </w:p>
        </w:tc>
        <w:tc>
          <w:tcPr>
            <w:tcW w:w="851" w:type="dxa"/>
            <w:vAlign w:val="center"/>
          </w:tcPr>
          <w:p w:rsidR="0042145D" w:rsidRPr="003C18F1" w:rsidRDefault="00D51BB1" w:rsidP="009D5684">
            <w:pPr>
              <w:jc w:val="right"/>
              <w:rPr>
                <w:rFonts w:ascii="Times New Roman" w:hAnsi="Times New Roman" w:cs="Times New Roman"/>
                <w:sz w:val="20"/>
                <w:szCs w:val="20"/>
              </w:rPr>
            </w:pPr>
            <w:r w:rsidRPr="003C18F1">
              <w:rPr>
                <w:rFonts w:ascii="Times New Roman" w:hAnsi="Times New Roman" w:cs="Times New Roman"/>
                <w:sz w:val="20"/>
                <w:szCs w:val="20"/>
              </w:rPr>
              <w:t>74</w:t>
            </w:r>
            <w:r w:rsidR="003C18F1">
              <w:rPr>
                <w:rFonts w:ascii="Times New Roman" w:hAnsi="Times New Roman" w:cs="Times New Roman"/>
                <w:sz w:val="20"/>
                <w:szCs w:val="20"/>
              </w:rPr>
              <w:t>.</w:t>
            </w:r>
            <w:r w:rsidRPr="003C18F1">
              <w:rPr>
                <w:rFonts w:ascii="Times New Roman" w:hAnsi="Times New Roman" w:cs="Times New Roman"/>
                <w:sz w:val="20"/>
                <w:szCs w:val="20"/>
              </w:rPr>
              <w:t>70</w:t>
            </w:r>
          </w:p>
        </w:tc>
        <w:tc>
          <w:tcPr>
            <w:tcW w:w="920" w:type="dxa"/>
            <w:vAlign w:val="center"/>
          </w:tcPr>
          <w:p w:rsidR="0042145D" w:rsidRPr="003C18F1" w:rsidRDefault="00D51BB1" w:rsidP="009D5684">
            <w:pPr>
              <w:jc w:val="right"/>
              <w:rPr>
                <w:rFonts w:ascii="Times New Roman" w:hAnsi="Times New Roman" w:cs="Times New Roman"/>
                <w:sz w:val="20"/>
                <w:szCs w:val="20"/>
              </w:rPr>
            </w:pPr>
            <w:r w:rsidRPr="003C18F1">
              <w:rPr>
                <w:rFonts w:ascii="Times New Roman" w:hAnsi="Times New Roman" w:cs="Times New Roman"/>
                <w:sz w:val="20"/>
                <w:szCs w:val="20"/>
              </w:rPr>
              <w:t>78</w:t>
            </w:r>
            <w:r w:rsidR="003C18F1">
              <w:rPr>
                <w:rFonts w:ascii="Times New Roman" w:hAnsi="Times New Roman" w:cs="Times New Roman"/>
                <w:sz w:val="20"/>
                <w:szCs w:val="20"/>
              </w:rPr>
              <w:t>.</w:t>
            </w:r>
            <w:r w:rsidRPr="003C18F1">
              <w:rPr>
                <w:rFonts w:ascii="Times New Roman" w:hAnsi="Times New Roman" w:cs="Times New Roman"/>
                <w:sz w:val="20"/>
                <w:szCs w:val="20"/>
              </w:rPr>
              <w:t>48</w:t>
            </w:r>
          </w:p>
        </w:tc>
      </w:tr>
      <w:tr w:rsidR="0042145D" w:rsidRPr="003C18F1" w:rsidTr="003C18F1">
        <w:trPr>
          <w:jc w:val="center"/>
        </w:trPr>
        <w:tc>
          <w:tcPr>
            <w:tcW w:w="4039" w:type="dxa"/>
            <w:tcBorders>
              <w:right w:val="single" w:sz="12" w:space="0" w:color="auto"/>
            </w:tcBorders>
            <w:vAlign w:val="center"/>
          </w:tcPr>
          <w:p w:rsidR="0042145D" w:rsidRPr="003C18F1" w:rsidRDefault="00D51BB1" w:rsidP="00C76E04">
            <w:pPr>
              <w:rPr>
                <w:rFonts w:ascii="Times New Roman" w:hAnsi="Times New Roman" w:cs="Times New Roman"/>
                <w:sz w:val="20"/>
                <w:szCs w:val="20"/>
              </w:rPr>
            </w:pPr>
            <w:r w:rsidRPr="003C18F1">
              <w:rPr>
                <w:rFonts w:ascii="Times New Roman" w:hAnsi="Times New Roman" w:cs="Times New Roman"/>
                <w:sz w:val="20"/>
                <w:szCs w:val="20"/>
              </w:rPr>
              <w:t>Сценарий 5 – Конвергенция между страните в ЕС и частична с Турция и Сърбия при ниска въглеродна интензивност</w:t>
            </w:r>
          </w:p>
        </w:tc>
        <w:tc>
          <w:tcPr>
            <w:tcW w:w="851" w:type="dxa"/>
            <w:tcBorders>
              <w:left w:val="single" w:sz="12" w:space="0" w:color="auto"/>
            </w:tcBorders>
            <w:vAlign w:val="center"/>
          </w:tcPr>
          <w:p w:rsidR="0042145D" w:rsidRPr="003C18F1" w:rsidRDefault="0042145D" w:rsidP="009D5684">
            <w:pPr>
              <w:jc w:val="right"/>
              <w:rPr>
                <w:rFonts w:ascii="Times New Roman" w:hAnsi="Times New Roman" w:cs="Times New Roman"/>
                <w:sz w:val="20"/>
                <w:szCs w:val="20"/>
              </w:rPr>
            </w:pPr>
          </w:p>
        </w:tc>
        <w:tc>
          <w:tcPr>
            <w:tcW w:w="850" w:type="dxa"/>
            <w:vAlign w:val="center"/>
          </w:tcPr>
          <w:p w:rsidR="0042145D" w:rsidRPr="003C18F1" w:rsidRDefault="00D51BB1" w:rsidP="009D5684">
            <w:pPr>
              <w:jc w:val="right"/>
              <w:rPr>
                <w:rFonts w:ascii="Times New Roman" w:hAnsi="Times New Roman" w:cs="Times New Roman"/>
                <w:sz w:val="20"/>
                <w:szCs w:val="20"/>
              </w:rPr>
            </w:pPr>
            <w:r w:rsidRPr="003C18F1">
              <w:rPr>
                <w:rFonts w:ascii="Times New Roman" w:hAnsi="Times New Roman" w:cs="Times New Roman"/>
                <w:sz w:val="20"/>
                <w:szCs w:val="20"/>
              </w:rPr>
              <w:t>58</w:t>
            </w:r>
            <w:r w:rsidR="003C18F1">
              <w:rPr>
                <w:rFonts w:ascii="Times New Roman" w:hAnsi="Times New Roman" w:cs="Times New Roman"/>
                <w:sz w:val="20"/>
                <w:szCs w:val="20"/>
              </w:rPr>
              <w:t>.</w:t>
            </w:r>
            <w:r w:rsidRPr="003C18F1">
              <w:rPr>
                <w:rFonts w:ascii="Times New Roman" w:hAnsi="Times New Roman" w:cs="Times New Roman"/>
                <w:sz w:val="20"/>
                <w:szCs w:val="20"/>
              </w:rPr>
              <w:t>51</w:t>
            </w:r>
          </w:p>
        </w:tc>
        <w:tc>
          <w:tcPr>
            <w:tcW w:w="851" w:type="dxa"/>
            <w:vAlign w:val="center"/>
          </w:tcPr>
          <w:p w:rsidR="0042145D" w:rsidRPr="003C18F1" w:rsidRDefault="00D51BB1" w:rsidP="009D5684">
            <w:pPr>
              <w:jc w:val="right"/>
              <w:rPr>
                <w:rFonts w:ascii="Times New Roman" w:hAnsi="Times New Roman" w:cs="Times New Roman"/>
                <w:sz w:val="20"/>
                <w:szCs w:val="20"/>
              </w:rPr>
            </w:pPr>
            <w:r w:rsidRPr="003C18F1">
              <w:rPr>
                <w:rFonts w:ascii="Times New Roman" w:hAnsi="Times New Roman" w:cs="Times New Roman"/>
                <w:sz w:val="20"/>
                <w:szCs w:val="20"/>
              </w:rPr>
              <w:t>63</w:t>
            </w:r>
            <w:r w:rsidR="003C18F1">
              <w:rPr>
                <w:rFonts w:ascii="Times New Roman" w:hAnsi="Times New Roman" w:cs="Times New Roman"/>
                <w:sz w:val="20"/>
                <w:szCs w:val="20"/>
              </w:rPr>
              <w:t>.</w:t>
            </w:r>
            <w:r w:rsidRPr="003C18F1">
              <w:rPr>
                <w:rFonts w:ascii="Times New Roman" w:hAnsi="Times New Roman" w:cs="Times New Roman"/>
                <w:sz w:val="20"/>
                <w:szCs w:val="20"/>
              </w:rPr>
              <w:t>83</w:t>
            </w:r>
          </w:p>
        </w:tc>
        <w:tc>
          <w:tcPr>
            <w:tcW w:w="850" w:type="dxa"/>
            <w:vAlign w:val="center"/>
          </w:tcPr>
          <w:p w:rsidR="0042145D" w:rsidRPr="003C18F1" w:rsidRDefault="00D51BB1" w:rsidP="009D5684">
            <w:pPr>
              <w:jc w:val="right"/>
              <w:rPr>
                <w:rFonts w:ascii="Times New Roman" w:hAnsi="Times New Roman" w:cs="Times New Roman"/>
                <w:sz w:val="20"/>
                <w:szCs w:val="20"/>
              </w:rPr>
            </w:pPr>
            <w:r w:rsidRPr="003C18F1">
              <w:rPr>
                <w:rFonts w:ascii="Times New Roman" w:hAnsi="Times New Roman" w:cs="Times New Roman"/>
                <w:sz w:val="20"/>
                <w:szCs w:val="20"/>
              </w:rPr>
              <w:t>67</w:t>
            </w:r>
            <w:r w:rsidR="003C18F1">
              <w:rPr>
                <w:rFonts w:ascii="Times New Roman" w:hAnsi="Times New Roman" w:cs="Times New Roman"/>
                <w:sz w:val="20"/>
                <w:szCs w:val="20"/>
              </w:rPr>
              <w:t>.</w:t>
            </w:r>
            <w:r w:rsidRPr="003C18F1">
              <w:rPr>
                <w:rFonts w:ascii="Times New Roman" w:hAnsi="Times New Roman" w:cs="Times New Roman"/>
                <w:sz w:val="20"/>
                <w:szCs w:val="20"/>
              </w:rPr>
              <w:t>40</w:t>
            </w:r>
          </w:p>
        </w:tc>
        <w:tc>
          <w:tcPr>
            <w:tcW w:w="851" w:type="dxa"/>
            <w:vAlign w:val="center"/>
          </w:tcPr>
          <w:p w:rsidR="0042145D" w:rsidRPr="003C18F1" w:rsidRDefault="00D51BB1" w:rsidP="009D5684">
            <w:pPr>
              <w:jc w:val="right"/>
              <w:rPr>
                <w:rFonts w:ascii="Times New Roman" w:hAnsi="Times New Roman" w:cs="Times New Roman"/>
                <w:sz w:val="20"/>
                <w:szCs w:val="20"/>
              </w:rPr>
            </w:pPr>
            <w:r w:rsidRPr="003C18F1">
              <w:rPr>
                <w:rFonts w:ascii="Times New Roman" w:hAnsi="Times New Roman" w:cs="Times New Roman"/>
                <w:sz w:val="20"/>
                <w:szCs w:val="20"/>
              </w:rPr>
              <w:t>72</w:t>
            </w:r>
            <w:r w:rsidR="003C18F1">
              <w:rPr>
                <w:rFonts w:ascii="Times New Roman" w:hAnsi="Times New Roman" w:cs="Times New Roman"/>
                <w:sz w:val="20"/>
                <w:szCs w:val="20"/>
              </w:rPr>
              <w:t>.</w:t>
            </w:r>
            <w:r w:rsidRPr="003C18F1">
              <w:rPr>
                <w:rFonts w:ascii="Times New Roman" w:hAnsi="Times New Roman" w:cs="Times New Roman"/>
                <w:sz w:val="20"/>
                <w:szCs w:val="20"/>
              </w:rPr>
              <w:t>67</w:t>
            </w:r>
          </w:p>
        </w:tc>
        <w:tc>
          <w:tcPr>
            <w:tcW w:w="920" w:type="dxa"/>
            <w:vAlign w:val="center"/>
          </w:tcPr>
          <w:p w:rsidR="0042145D" w:rsidRPr="003C18F1" w:rsidRDefault="00D51BB1" w:rsidP="009D5684">
            <w:pPr>
              <w:jc w:val="right"/>
              <w:rPr>
                <w:rFonts w:ascii="Times New Roman" w:hAnsi="Times New Roman" w:cs="Times New Roman"/>
                <w:sz w:val="20"/>
                <w:szCs w:val="20"/>
              </w:rPr>
            </w:pPr>
            <w:r w:rsidRPr="003C18F1">
              <w:rPr>
                <w:rFonts w:ascii="Times New Roman" w:hAnsi="Times New Roman" w:cs="Times New Roman"/>
                <w:sz w:val="20"/>
                <w:szCs w:val="20"/>
              </w:rPr>
              <w:t>76</w:t>
            </w:r>
            <w:r w:rsidR="003C18F1">
              <w:rPr>
                <w:rFonts w:ascii="Times New Roman" w:hAnsi="Times New Roman" w:cs="Times New Roman"/>
                <w:sz w:val="20"/>
                <w:szCs w:val="20"/>
              </w:rPr>
              <w:t>.</w:t>
            </w:r>
            <w:r w:rsidRPr="003C18F1">
              <w:rPr>
                <w:rFonts w:ascii="Times New Roman" w:hAnsi="Times New Roman" w:cs="Times New Roman"/>
                <w:sz w:val="20"/>
                <w:szCs w:val="20"/>
              </w:rPr>
              <w:t>19</w:t>
            </w:r>
          </w:p>
        </w:tc>
      </w:tr>
      <w:tr w:rsidR="00D51BB1" w:rsidRPr="003C18F1" w:rsidTr="003C18F1">
        <w:trPr>
          <w:jc w:val="center"/>
        </w:trPr>
        <w:tc>
          <w:tcPr>
            <w:tcW w:w="4039" w:type="dxa"/>
            <w:tcBorders>
              <w:bottom w:val="single" w:sz="12" w:space="0" w:color="auto"/>
              <w:right w:val="single" w:sz="12" w:space="0" w:color="auto"/>
            </w:tcBorders>
            <w:vAlign w:val="center"/>
          </w:tcPr>
          <w:p w:rsidR="00D51BB1" w:rsidRPr="003C18F1" w:rsidRDefault="00D51BB1" w:rsidP="00D51BB1">
            <w:pPr>
              <w:rPr>
                <w:rFonts w:ascii="Times New Roman" w:hAnsi="Times New Roman" w:cs="Times New Roman"/>
                <w:sz w:val="20"/>
                <w:szCs w:val="20"/>
              </w:rPr>
            </w:pPr>
            <w:r w:rsidRPr="003C18F1">
              <w:rPr>
                <w:rFonts w:ascii="Times New Roman" w:hAnsi="Times New Roman" w:cs="Times New Roman"/>
                <w:sz w:val="20"/>
                <w:szCs w:val="20"/>
              </w:rPr>
              <w:t>Сценарий 6 – Конвергенция между страните в ЕС и частична с Турция и Сърбия при ниска въглеродна интензивност</w:t>
            </w:r>
          </w:p>
        </w:tc>
        <w:tc>
          <w:tcPr>
            <w:tcW w:w="851" w:type="dxa"/>
            <w:tcBorders>
              <w:left w:val="single" w:sz="12" w:space="0" w:color="auto"/>
            </w:tcBorders>
            <w:vAlign w:val="center"/>
          </w:tcPr>
          <w:p w:rsidR="00D51BB1" w:rsidRPr="003C18F1" w:rsidRDefault="00D51BB1" w:rsidP="009D5684">
            <w:pPr>
              <w:jc w:val="right"/>
              <w:rPr>
                <w:rFonts w:ascii="Times New Roman" w:hAnsi="Times New Roman" w:cs="Times New Roman"/>
                <w:sz w:val="20"/>
                <w:szCs w:val="20"/>
              </w:rPr>
            </w:pPr>
          </w:p>
        </w:tc>
        <w:tc>
          <w:tcPr>
            <w:tcW w:w="850" w:type="dxa"/>
            <w:vAlign w:val="center"/>
          </w:tcPr>
          <w:p w:rsidR="00D51BB1" w:rsidRPr="003C18F1" w:rsidRDefault="00D51BB1" w:rsidP="009D5684">
            <w:pPr>
              <w:jc w:val="right"/>
              <w:rPr>
                <w:rFonts w:ascii="Times New Roman" w:hAnsi="Times New Roman" w:cs="Times New Roman"/>
                <w:sz w:val="20"/>
                <w:szCs w:val="20"/>
              </w:rPr>
            </w:pPr>
            <w:r w:rsidRPr="003C18F1">
              <w:rPr>
                <w:rFonts w:ascii="Times New Roman" w:hAnsi="Times New Roman" w:cs="Times New Roman"/>
                <w:sz w:val="20"/>
                <w:szCs w:val="20"/>
              </w:rPr>
              <w:t>59</w:t>
            </w:r>
            <w:r w:rsidR="003C18F1">
              <w:rPr>
                <w:rFonts w:ascii="Times New Roman" w:hAnsi="Times New Roman" w:cs="Times New Roman"/>
                <w:sz w:val="20"/>
                <w:szCs w:val="20"/>
              </w:rPr>
              <w:t>.</w:t>
            </w:r>
            <w:r w:rsidRPr="003C18F1">
              <w:rPr>
                <w:rFonts w:ascii="Times New Roman" w:hAnsi="Times New Roman" w:cs="Times New Roman"/>
                <w:sz w:val="20"/>
                <w:szCs w:val="20"/>
              </w:rPr>
              <w:t>75</w:t>
            </w:r>
          </w:p>
        </w:tc>
        <w:tc>
          <w:tcPr>
            <w:tcW w:w="851" w:type="dxa"/>
            <w:vAlign w:val="center"/>
          </w:tcPr>
          <w:p w:rsidR="00D51BB1" w:rsidRPr="003C18F1" w:rsidRDefault="00D51BB1" w:rsidP="009D5684">
            <w:pPr>
              <w:jc w:val="right"/>
              <w:rPr>
                <w:rFonts w:ascii="Times New Roman" w:hAnsi="Times New Roman" w:cs="Times New Roman"/>
                <w:sz w:val="20"/>
                <w:szCs w:val="20"/>
              </w:rPr>
            </w:pPr>
            <w:r w:rsidRPr="003C18F1">
              <w:rPr>
                <w:rFonts w:ascii="Times New Roman" w:hAnsi="Times New Roman" w:cs="Times New Roman"/>
                <w:sz w:val="20"/>
                <w:szCs w:val="20"/>
              </w:rPr>
              <w:t>66</w:t>
            </w:r>
            <w:r w:rsidR="003C18F1">
              <w:rPr>
                <w:rFonts w:ascii="Times New Roman" w:hAnsi="Times New Roman" w:cs="Times New Roman"/>
                <w:sz w:val="20"/>
                <w:szCs w:val="20"/>
              </w:rPr>
              <w:t>.</w:t>
            </w:r>
            <w:r w:rsidRPr="003C18F1">
              <w:rPr>
                <w:rFonts w:ascii="Times New Roman" w:hAnsi="Times New Roman" w:cs="Times New Roman"/>
                <w:sz w:val="20"/>
                <w:szCs w:val="20"/>
              </w:rPr>
              <w:t>31</w:t>
            </w:r>
          </w:p>
        </w:tc>
        <w:tc>
          <w:tcPr>
            <w:tcW w:w="850" w:type="dxa"/>
            <w:vAlign w:val="center"/>
          </w:tcPr>
          <w:p w:rsidR="00D51BB1" w:rsidRPr="003C18F1" w:rsidRDefault="00D51BB1" w:rsidP="009D5684">
            <w:pPr>
              <w:jc w:val="right"/>
              <w:rPr>
                <w:rFonts w:ascii="Times New Roman" w:hAnsi="Times New Roman" w:cs="Times New Roman"/>
                <w:sz w:val="20"/>
                <w:szCs w:val="20"/>
              </w:rPr>
            </w:pPr>
            <w:r w:rsidRPr="003C18F1">
              <w:rPr>
                <w:rFonts w:ascii="Times New Roman" w:hAnsi="Times New Roman" w:cs="Times New Roman"/>
                <w:sz w:val="20"/>
                <w:szCs w:val="20"/>
              </w:rPr>
              <w:t>70</w:t>
            </w:r>
            <w:r w:rsidR="003C18F1">
              <w:rPr>
                <w:rFonts w:ascii="Times New Roman" w:hAnsi="Times New Roman" w:cs="Times New Roman"/>
                <w:sz w:val="20"/>
                <w:szCs w:val="20"/>
              </w:rPr>
              <w:t>.</w:t>
            </w:r>
            <w:r w:rsidRPr="003C18F1">
              <w:rPr>
                <w:rFonts w:ascii="Times New Roman" w:hAnsi="Times New Roman" w:cs="Times New Roman"/>
                <w:sz w:val="20"/>
                <w:szCs w:val="20"/>
              </w:rPr>
              <w:t>46</w:t>
            </w:r>
          </w:p>
        </w:tc>
        <w:tc>
          <w:tcPr>
            <w:tcW w:w="851" w:type="dxa"/>
            <w:vAlign w:val="center"/>
          </w:tcPr>
          <w:p w:rsidR="00D51BB1" w:rsidRPr="003C18F1" w:rsidRDefault="009D5684" w:rsidP="009D5684">
            <w:pPr>
              <w:jc w:val="right"/>
              <w:rPr>
                <w:rFonts w:ascii="Times New Roman" w:hAnsi="Times New Roman" w:cs="Times New Roman"/>
                <w:sz w:val="20"/>
                <w:szCs w:val="20"/>
              </w:rPr>
            </w:pPr>
            <w:r w:rsidRPr="003C18F1">
              <w:rPr>
                <w:rFonts w:ascii="Times New Roman" w:hAnsi="Times New Roman" w:cs="Times New Roman"/>
                <w:sz w:val="20"/>
                <w:szCs w:val="20"/>
              </w:rPr>
              <w:t>76</w:t>
            </w:r>
            <w:r w:rsidR="003C18F1">
              <w:rPr>
                <w:rFonts w:ascii="Times New Roman" w:hAnsi="Times New Roman" w:cs="Times New Roman"/>
                <w:sz w:val="20"/>
                <w:szCs w:val="20"/>
              </w:rPr>
              <w:t>.</w:t>
            </w:r>
            <w:r w:rsidRPr="003C18F1">
              <w:rPr>
                <w:rFonts w:ascii="Times New Roman" w:hAnsi="Times New Roman" w:cs="Times New Roman"/>
                <w:sz w:val="20"/>
                <w:szCs w:val="20"/>
              </w:rPr>
              <w:t>74</w:t>
            </w:r>
          </w:p>
        </w:tc>
        <w:tc>
          <w:tcPr>
            <w:tcW w:w="920" w:type="dxa"/>
            <w:vAlign w:val="center"/>
          </w:tcPr>
          <w:p w:rsidR="00D51BB1" w:rsidRPr="003C18F1" w:rsidRDefault="009D5684" w:rsidP="009D5684">
            <w:pPr>
              <w:jc w:val="right"/>
              <w:rPr>
                <w:rFonts w:ascii="Times New Roman" w:hAnsi="Times New Roman" w:cs="Times New Roman"/>
                <w:sz w:val="20"/>
                <w:szCs w:val="20"/>
              </w:rPr>
            </w:pPr>
            <w:r w:rsidRPr="003C18F1">
              <w:rPr>
                <w:rFonts w:ascii="Times New Roman" w:hAnsi="Times New Roman" w:cs="Times New Roman"/>
                <w:sz w:val="20"/>
                <w:szCs w:val="20"/>
              </w:rPr>
              <w:t>80</w:t>
            </w:r>
            <w:r w:rsidR="003C18F1">
              <w:rPr>
                <w:rFonts w:ascii="Times New Roman" w:hAnsi="Times New Roman" w:cs="Times New Roman"/>
                <w:sz w:val="20"/>
                <w:szCs w:val="20"/>
              </w:rPr>
              <w:t>.</w:t>
            </w:r>
            <w:r w:rsidRPr="003C18F1">
              <w:rPr>
                <w:rFonts w:ascii="Times New Roman" w:hAnsi="Times New Roman" w:cs="Times New Roman"/>
                <w:sz w:val="20"/>
                <w:szCs w:val="20"/>
              </w:rPr>
              <w:t>77</w:t>
            </w:r>
          </w:p>
        </w:tc>
      </w:tr>
    </w:tbl>
    <w:p w:rsidR="000E5C79" w:rsidRDefault="000E5C79" w:rsidP="0071789D">
      <w:pPr>
        <w:spacing w:before="120" w:after="120" w:line="240" w:lineRule="auto"/>
        <w:jc w:val="center"/>
        <w:rPr>
          <w:rFonts w:ascii="Times New Roman" w:hAnsi="Times New Roman" w:cs="Times New Roman"/>
          <w:sz w:val="20"/>
          <w:szCs w:val="24"/>
          <w:lang w:val="en-US"/>
        </w:rPr>
      </w:pPr>
      <w:r w:rsidRPr="0071789D">
        <w:rPr>
          <w:rFonts w:ascii="Times New Roman" w:hAnsi="Times New Roman" w:cs="Times New Roman"/>
          <w:sz w:val="20"/>
          <w:szCs w:val="24"/>
        </w:rPr>
        <w:t>Източник: Резултати от Дейност III.</w:t>
      </w:r>
    </w:p>
    <w:p w:rsidR="006E7CAF" w:rsidRPr="006E7CAF" w:rsidRDefault="006E7CAF" w:rsidP="0071789D">
      <w:pPr>
        <w:spacing w:before="120" w:after="120" w:line="240" w:lineRule="auto"/>
        <w:jc w:val="center"/>
        <w:rPr>
          <w:rFonts w:ascii="Times New Roman" w:hAnsi="Times New Roman" w:cs="Times New Roman"/>
          <w:sz w:val="20"/>
          <w:szCs w:val="24"/>
          <w:lang w:val="en-US"/>
        </w:rPr>
      </w:pPr>
    </w:p>
    <w:p w:rsidR="000E5C79" w:rsidRPr="002A2C05" w:rsidRDefault="000E5C79" w:rsidP="004464CF">
      <w:pPr>
        <w:spacing w:before="120" w:after="120" w:line="240" w:lineRule="auto"/>
        <w:jc w:val="both"/>
        <w:rPr>
          <w:rFonts w:ascii="Times New Roman" w:eastAsia="Times New Roman" w:hAnsi="Times New Roman" w:cs="Times New Roman"/>
          <w:sz w:val="24"/>
          <w:szCs w:val="24"/>
        </w:rPr>
      </w:pPr>
      <w:r w:rsidRPr="002A2C05">
        <w:rPr>
          <w:rFonts w:ascii="Times New Roman" w:eastAsia="Times New Roman" w:hAnsi="Times New Roman" w:cs="Times New Roman"/>
          <w:sz w:val="24"/>
          <w:szCs w:val="24"/>
        </w:rPr>
        <w:t>Борсовата цена в България се очаква да варира в границите между 50 евро/</w:t>
      </w:r>
      <w:r w:rsidRPr="002A2C05">
        <w:rPr>
          <w:rFonts w:ascii="Times New Roman" w:eastAsia="Times New Roman" w:hAnsi="Times New Roman" w:cs="Times New Roman"/>
          <w:sz w:val="24"/>
          <w:szCs w:val="24"/>
          <w:lang w:val="en-GB"/>
        </w:rPr>
        <w:t>MWh</w:t>
      </w:r>
      <w:r w:rsidRPr="002A2C05">
        <w:rPr>
          <w:rFonts w:ascii="Times New Roman" w:eastAsia="Times New Roman" w:hAnsi="Times New Roman" w:cs="Times New Roman"/>
          <w:sz w:val="24"/>
          <w:szCs w:val="24"/>
        </w:rPr>
        <w:t xml:space="preserve">  и 61 евро/MWh</w:t>
      </w:r>
      <w:r w:rsidR="004464CF">
        <w:rPr>
          <w:rFonts w:ascii="Times New Roman" w:eastAsia="Times New Roman" w:hAnsi="Times New Roman" w:cs="Times New Roman"/>
          <w:sz w:val="24"/>
          <w:szCs w:val="24"/>
        </w:rPr>
        <w:t xml:space="preserve"> </w:t>
      </w:r>
      <w:r w:rsidRPr="002A2C05">
        <w:rPr>
          <w:rFonts w:ascii="Times New Roman" w:eastAsia="Times New Roman" w:hAnsi="Times New Roman" w:cs="Times New Roman"/>
          <w:sz w:val="24"/>
          <w:szCs w:val="24"/>
        </w:rPr>
        <w:t>в края на 2020 г. до 57 евро/MWh</w:t>
      </w:r>
      <w:r w:rsidR="004464CF">
        <w:rPr>
          <w:rFonts w:ascii="Times New Roman" w:eastAsia="Times New Roman" w:hAnsi="Times New Roman" w:cs="Times New Roman"/>
          <w:sz w:val="24"/>
          <w:szCs w:val="24"/>
        </w:rPr>
        <w:t xml:space="preserve"> </w:t>
      </w:r>
      <w:r w:rsidRPr="002A2C05">
        <w:rPr>
          <w:rFonts w:ascii="Times New Roman" w:eastAsia="Times New Roman" w:hAnsi="Times New Roman" w:cs="Times New Roman"/>
          <w:sz w:val="24"/>
          <w:szCs w:val="24"/>
        </w:rPr>
        <w:t>и 71 евро/MWh</w:t>
      </w:r>
      <w:r w:rsidR="004464CF">
        <w:rPr>
          <w:rFonts w:ascii="Times New Roman" w:eastAsia="Times New Roman" w:hAnsi="Times New Roman" w:cs="Times New Roman"/>
          <w:sz w:val="24"/>
          <w:szCs w:val="24"/>
        </w:rPr>
        <w:t xml:space="preserve"> </w:t>
      </w:r>
      <w:r w:rsidRPr="002A2C05">
        <w:rPr>
          <w:rFonts w:ascii="Times New Roman" w:eastAsia="Times New Roman" w:hAnsi="Times New Roman" w:cs="Times New Roman"/>
          <w:sz w:val="24"/>
          <w:szCs w:val="24"/>
        </w:rPr>
        <w:t>през 2030 г.</w:t>
      </w:r>
    </w:p>
    <w:p w:rsidR="000E5C79" w:rsidRPr="002A2C05" w:rsidRDefault="000E5C79" w:rsidP="004464CF">
      <w:pPr>
        <w:spacing w:before="120" w:after="120" w:line="240" w:lineRule="auto"/>
        <w:jc w:val="both"/>
        <w:rPr>
          <w:rFonts w:ascii="Times New Roman" w:eastAsia="Times New Roman" w:hAnsi="Times New Roman" w:cs="Times New Roman"/>
          <w:sz w:val="24"/>
          <w:szCs w:val="24"/>
        </w:rPr>
      </w:pPr>
      <w:r w:rsidRPr="002A2C05">
        <w:rPr>
          <w:rFonts w:ascii="Times New Roman" w:eastAsia="Times New Roman" w:hAnsi="Times New Roman" w:cs="Times New Roman"/>
          <w:sz w:val="24"/>
          <w:szCs w:val="24"/>
        </w:rPr>
        <w:t>В рамките на двата анализа се прави извода, че приходите от износ, чрез ко</w:t>
      </w:r>
      <w:r w:rsidR="001C4C5F">
        <w:rPr>
          <w:rFonts w:ascii="Times New Roman" w:eastAsia="Times New Roman" w:hAnsi="Times New Roman" w:cs="Times New Roman"/>
          <w:sz w:val="24"/>
          <w:szCs w:val="24"/>
        </w:rPr>
        <w:t>и</w:t>
      </w:r>
      <w:r w:rsidRPr="002A2C05">
        <w:rPr>
          <w:rFonts w:ascii="Times New Roman" w:eastAsia="Times New Roman" w:hAnsi="Times New Roman" w:cs="Times New Roman"/>
          <w:sz w:val="24"/>
          <w:szCs w:val="24"/>
        </w:rPr>
        <w:t>то се осигурява високо производството на електрическа енергия</w:t>
      </w:r>
      <w:r w:rsidR="001C4C5F">
        <w:rPr>
          <w:rFonts w:ascii="Times New Roman" w:eastAsia="Times New Roman" w:hAnsi="Times New Roman" w:cs="Times New Roman"/>
          <w:sz w:val="24"/>
          <w:szCs w:val="24"/>
        </w:rPr>
        <w:t>,</w:t>
      </w:r>
      <w:r w:rsidRPr="002A2C05">
        <w:rPr>
          <w:rFonts w:ascii="Times New Roman" w:eastAsia="Times New Roman" w:hAnsi="Times New Roman" w:cs="Times New Roman"/>
          <w:sz w:val="24"/>
          <w:szCs w:val="24"/>
        </w:rPr>
        <w:t xml:space="preserve"> са важни за българските производители, което ги прави зависими от външните пазари. Най-голям дял на износа в производството (експортно-ориентирано производство в икономиката) се наблюдава в България, Румъния и Сърбия, което очертава кръга на конкурентни производства.</w:t>
      </w:r>
    </w:p>
    <w:p w:rsidR="000E5C79" w:rsidRDefault="000E5C79" w:rsidP="0071789D">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В обобщение по отношение на пазарната позиция на АЕЦ Белене, с два блока от по 1000 MW, към 2030 г</w:t>
      </w:r>
      <w:r w:rsidR="00505B2E">
        <w:rPr>
          <w:rFonts w:ascii="Times New Roman" w:hAnsi="Times New Roman" w:cs="Times New Roman"/>
          <w:sz w:val="24"/>
          <w:szCs w:val="24"/>
        </w:rPr>
        <w:t>.</w:t>
      </w:r>
      <w:r>
        <w:rPr>
          <w:rFonts w:ascii="Times New Roman" w:hAnsi="Times New Roman" w:cs="Times New Roman"/>
          <w:sz w:val="24"/>
          <w:szCs w:val="24"/>
        </w:rPr>
        <w:t xml:space="preserve"> може да се посочи:</w:t>
      </w:r>
    </w:p>
    <w:p w:rsidR="000E5C79" w:rsidRPr="00691341" w:rsidRDefault="000E5C79" w:rsidP="002A32DA">
      <w:pPr>
        <w:pStyle w:val="ListParagraph"/>
        <w:numPr>
          <w:ilvl w:val="0"/>
          <w:numId w:val="28"/>
        </w:numPr>
        <w:spacing w:after="120" w:line="240" w:lineRule="auto"/>
        <w:ind w:left="284" w:hanging="284"/>
        <w:contextualSpacing w:val="0"/>
        <w:jc w:val="both"/>
        <w:rPr>
          <w:rFonts w:ascii="Times New Roman" w:hAnsi="Times New Roman" w:cs="Times New Roman"/>
          <w:sz w:val="24"/>
          <w:szCs w:val="24"/>
        </w:rPr>
      </w:pPr>
      <w:r w:rsidRPr="00691341">
        <w:rPr>
          <w:rFonts w:ascii="Times New Roman" w:hAnsi="Times New Roman" w:cs="Times New Roman"/>
          <w:sz w:val="24"/>
          <w:szCs w:val="24"/>
        </w:rPr>
        <w:t xml:space="preserve">Нуждата на вътрешния пазар от нови мощности е ограничена и не </w:t>
      </w:r>
      <w:r>
        <w:rPr>
          <w:rFonts w:ascii="Times New Roman" w:hAnsi="Times New Roman" w:cs="Times New Roman"/>
          <w:sz w:val="24"/>
          <w:szCs w:val="24"/>
        </w:rPr>
        <w:t xml:space="preserve">кореспондира с характеристиките на </w:t>
      </w:r>
      <w:r w:rsidRPr="00691341">
        <w:rPr>
          <w:rFonts w:ascii="Times New Roman" w:hAnsi="Times New Roman" w:cs="Times New Roman"/>
          <w:sz w:val="24"/>
          <w:szCs w:val="24"/>
        </w:rPr>
        <w:t>АЕЦ Белене</w:t>
      </w:r>
      <w:r>
        <w:rPr>
          <w:rFonts w:ascii="Times New Roman" w:hAnsi="Times New Roman" w:cs="Times New Roman"/>
          <w:sz w:val="24"/>
          <w:szCs w:val="24"/>
        </w:rPr>
        <w:t xml:space="preserve">, като инсталирани мощности, режими на работа (натоварване) и възможност за предоставяне на </w:t>
      </w:r>
      <w:r w:rsidRPr="008D4916">
        <w:rPr>
          <w:rFonts w:ascii="Times New Roman" w:hAnsi="Times New Roman" w:cs="Times New Roman"/>
          <w:sz w:val="24"/>
          <w:szCs w:val="24"/>
        </w:rPr>
        <w:t>допълнителни услуги на оператора на преносната мрежа за гарантиране сигурн</w:t>
      </w:r>
      <w:r>
        <w:rPr>
          <w:rFonts w:ascii="Times New Roman" w:hAnsi="Times New Roman" w:cs="Times New Roman"/>
          <w:sz w:val="24"/>
          <w:szCs w:val="24"/>
        </w:rPr>
        <w:t>а</w:t>
      </w:r>
      <w:r w:rsidRPr="008D4916">
        <w:rPr>
          <w:rFonts w:ascii="Times New Roman" w:hAnsi="Times New Roman" w:cs="Times New Roman"/>
          <w:sz w:val="24"/>
          <w:szCs w:val="24"/>
        </w:rPr>
        <w:t>та работа на ЕЕС</w:t>
      </w:r>
      <w:r>
        <w:rPr>
          <w:rFonts w:ascii="Times New Roman" w:hAnsi="Times New Roman" w:cs="Times New Roman"/>
          <w:sz w:val="24"/>
          <w:szCs w:val="24"/>
        </w:rPr>
        <w:t>.</w:t>
      </w:r>
    </w:p>
    <w:p w:rsidR="000E5C79" w:rsidRPr="00691341" w:rsidRDefault="000E5C79" w:rsidP="002A32DA">
      <w:pPr>
        <w:pStyle w:val="ListParagraph"/>
        <w:numPr>
          <w:ilvl w:val="0"/>
          <w:numId w:val="28"/>
        </w:numPr>
        <w:spacing w:after="120" w:line="240" w:lineRule="auto"/>
        <w:ind w:left="284" w:hanging="284"/>
        <w:contextualSpacing w:val="0"/>
        <w:jc w:val="both"/>
        <w:rPr>
          <w:rFonts w:ascii="Times New Roman" w:hAnsi="Times New Roman" w:cs="Times New Roman"/>
          <w:sz w:val="24"/>
          <w:szCs w:val="24"/>
        </w:rPr>
      </w:pPr>
      <w:r w:rsidRPr="00691341">
        <w:rPr>
          <w:rFonts w:ascii="Times New Roman" w:hAnsi="Times New Roman" w:cs="Times New Roman"/>
          <w:sz w:val="24"/>
          <w:szCs w:val="24"/>
        </w:rPr>
        <w:t>Съществуващите централи на нашия пазар ще запазят конкурентните си предимства пред една нова ядрена мощност в хоризонта до 2040 г</w:t>
      </w:r>
      <w:r>
        <w:rPr>
          <w:rFonts w:ascii="Times New Roman" w:hAnsi="Times New Roman" w:cs="Times New Roman"/>
          <w:sz w:val="24"/>
          <w:szCs w:val="24"/>
        </w:rPr>
        <w:t>.</w:t>
      </w:r>
    </w:p>
    <w:p w:rsidR="000E5C79" w:rsidRPr="00691341" w:rsidRDefault="000E5C79" w:rsidP="002A32DA">
      <w:pPr>
        <w:pStyle w:val="ListParagraph"/>
        <w:numPr>
          <w:ilvl w:val="0"/>
          <w:numId w:val="28"/>
        </w:numPr>
        <w:spacing w:after="120" w:line="240" w:lineRule="auto"/>
        <w:ind w:left="284" w:hanging="284"/>
        <w:contextualSpacing w:val="0"/>
        <w:jc w:val="both"/>
        <w:rPr>
          <w:rFonts w:ascii="Times New Roman" w:hAnsi="Times New Roman" w:cs="Times New Roman"/>
          <w:sz w:val="24"/>
          <w:szCs w:val="24"/>
        </w:rPr>
      </w:pPr>
      <w:r w:rsidRPr="00691341">
        <w:rPr>
          <w:rFonts w:ascii="Times New Roman" w:hAnsi="Times New Roman" w:cs="Times New Roman"/>
          <w:sz w:val="24"/>
          <w:szCs w:val="24"/>
        </w:rPr>
        <w:t xml:space="preserve">Пазарната среда в региона ще позволява да се планират нови мощности, но прогнозираните ценови равнища, макар и по-високи от сегашните нива, няма да покриват разходите на една нова ядрена мощност с два блока от по 1000 </w:t>
      </w:r>
      <w:r>
        <w:rPr>
          <w:rFonts w:ascii="Times New Roman" w:hAnsi="Times New Roman" w:cs="Times New Roman"/>
          <w:sz w:val="24"/>
          <w:szCs w:val="24"/>
        </w:rPr>
        <w:t>MW</w:t>
      </w:r>
      <w:r w:rsidRPr="00691341">
        <w:rPr>
          <w:rFonts w:ascii="Times New Roman" w:hAnsi="Times New Roman" w:cs="Times New Roman"/>
          <w:sz w:val="24"/>
          <w:szCs w:val="24"/>
        </w:rPr>
        <w:t>.</w:t>
      </w:r>
    </w:p>
    <w:p w:rsidR="00F70602" w:rsidRPr="008D624C" w:rsidRDefault="00F70602" w:rsidP="00E44C19">
      <w:pPr>
        <w:spacing w:before="120" w:after="120" w:line="240" w:lineRule="auto"/>
        <w:jc w:val="both"/>
        <w:rPr>
          <w:rFonts w:ascii="Times New Roman" w:eastAsia="Times New Roman" w:hAnsi="Times New Roman" w:cs="Times New Roman"/>
          <w:sz w:val="24"/>
          <w:szCs w:val="24"/>
        </w:rPr>
      </w:pPr>
    </w:p>
    <w:p w:rsidR="008D624C" w:rsidRPr="008D624C" w:rsidRDefault="008D624C" w:rsidP="002A32DA">
      <w:pPr>
        <w:pStyle w:val="Heading2"/>
        <w:numPr>
          <w:ilvl w:val="1"/>
          <w:numId w:val="1"/>
        </w:numPr>
        <w:spacing w:before="120" w:after="120" w:line="240" w:lineRule="auto"/>
        <w:ind w:left="426" w:hanging="426"/>
        <w:jc w:val="both"/>
        <w:rPr>
          <w:rFonts w:ascii="Times New Roman" w:hAnsi="Times New Roman" w:cs="Times New Roman"/>
          <w:b w:val="0"/>
          <w:i/>
          <w:color w:val="auto"/>
          <w:sz w:val="24"/>
          <w:szCs w:val="24"/>
        </w:rPr>
      </w:pPr>
      <w:bookmarkStart w:id="17" w:name="_Toc491680781"/>
      <w:bookmarkStart w:id="18" w:name="_Toc492991243"/>
      <w:bookmarkStart w:id="19" w:name="_Toc492991303"/>
      <w:bookmarkStart w:id="20" w:name="_Toc492991326"/>
      <w:r w:rsidRPr="008D624C">
        <w:rPr>
          <w:rFonts w:ascii="Times New Roman" w:hAnsi="Times New Roman" w:cs="Times New Roman"/>
          <w:b w:val="0"/>
          <w:i/>
          <w:color w:val="auto"/>
          <w:sz w:val="24"/>
          <w:szCs w:val="24"/>
        </w:rPr>
        <w:t>Поддейност V.1.3. Международна, европейска и национална правно-регулаторна рамка по отношение изграждането на нова ядрена мощност</w:t>
      </w:r>
      <w:bookmarkEnd w:id="17"/>
      <w:bookmarkEnd w:id="18"/>
      <w:bookmarkEnd w:id="19"/>
      <w:bookmarkEnd w:id="20"/>
    </w:p>
    <w:p w:rsidR="008D624C" w:rsidRPr="008D624C" w:rsidRDefault="008D624C" w:rsidP="002A32DA">
      <w:pPr>
        <w:pStyle w:val="Heading3"/>
        <w:numPr>
          <w:ilvl w:val="2"/>
          <w:numId w:val="8"/>
        </w:numPr>
        <w:spacing w:before="120" w:after="120" w:line="240" w:lineRule="auto"/>
        <w:ind w:left="567" w:hanging="567"/>
        <w:jc w:val="both"/>
        <w:rPr>
          <w:rFonts w:ascii="Times New Roman" w:hAnsi="Times New Roman" w:cs="Times New Roman"/>
          <w:b w:val="0"/>
          <w:color w:val="auto"/>
          <w:sz w:val="24"/>
          <w:szCs w:val="24"/>
          <w:u w:val="single"/>
        </w:rPr>
      </w:pPr>
      <w:bookmarkStart w:id="21" w:name="_Toc491680782"/>
      <w:bookmarkStart w:id="22" w:name="_Toc492991244"/>
      <w:bookmarkStart w:id="23" w:name="_Toc492991304"/>
      <w:bookmarkStart w:id="24" w:name="_Toc492991327"/>
      <w:r w:rsidRPr="008D624C">
        <w:rPr>
          <w:rFonts w:ascii="Times New Roman" w:hAnsi="Times New Roman" w:cs="Times New Roman"/>
          <w:b w:val="0"/>
          <w:color w:val="auto"/>
          <w:sz w:val="24"/>
          <w:szCs w:val="24"/>
          <w:u w:val="single"/>
        </w:rPr>
        <w:t>Основни документи, свързани с изграждането на нова ядрена мощност</w:t>
      </w:r>
      <w:bookmarkEnd w:id="21"/>
      <w:bookmarkEnd w:id="22"/>
      <w:bookmarkEnd w:id="23"/>
      <w:bookmarkEnd w:id="24"/>
    </w:p>
    <w:p w:rsidR="001A1D91" w:rsidRPr="00B21E59" w:rsidRDefault="00B21E59" w:rsidP="00E44C19">
      <w:pPr>
        <w:spacing w:before="120" w:after="120" w:line="240" w:lineRule="auto"/>
        <w:jc w:val="both"/>
        <w:rPr>
          <w:rFonts w:ascii="Times New Roman" w:eastAsia="Times New Roman" w:hAnsi="Times New Roman" w:cs="Times New Roman"/>
          <w:sz w:val="24"/>
          <w:szCs w:val="24"/>
        </w:rPr>
      </w:pPr>
      <w:r w:rsidRPr="00B21E59">
        <w:rPr>
          <w:rFonts w:ascii="Times New Roman" w:eastAsia="Times New Roman" w:hAnsi="Times New Roman" w:cs="Times New Roman"/>
          <w:sz w:val="24"/>
          <w:szCs w:val="24"/>
        </w:rPr>
        <w:t>Основните документи, свързани с изграждането на нова ядрена мощност</w:t>
      </w:r>
      <w:r>
        <w:rPr>
          <w:rFonts w:ascii="Times New Roman" w:eastAsia="Times New Roman" w:hAnsi="Times New Roman" w:cs="Times New Roman"/>
          <w:sz w:val="24"/>
          <w:szCs w:val="24"/>
        </w:rPr>
        <w:t xml:space="preserve"> представляват част от международно, европейско и национално законодателство.</w:t>
      </w:r>
    </w:p>
    <w:p w:rsidR="008D624C" w:rsidRPr="004464CF" w:rsidRDefault="008D624C" w:rsidP="00E44C19">
      <w:pPr>
        <w:spacing w:before="120" w:after="120" w:line="240" w:lineRule="auto"/>
        <w:jc w:val="both"/>
        <w:rPr>
          <w:rFonts w:ascii="Times New Roman" w:eastAsia="Times New Roman" w:hAnsi="Times New Roman" w:cs="Times New Roman"/>
          <w:sz w:val="24"/>
          <w:szCs w:val="24"/>
        </w:rPr>
      </w:pPr>
      <w:r w:rsidRPr="004464CF">
        <w:rPr>
          <w:rFonts w:ascii="Times New Roman" w:eastAsia="Times New Roman" w:hAnsi="Times New Roman" w:cs="Times New Roman"/>
          <w:sz w:val="24"/>
          <w:szCs w:val="24"/>
        </w:rPr>
        <w:t>Международни</w:t>
      </w:r>
      <w:r w:rsidR="00B21E59" w:rsidRPr="004464CF">
        <w:rPr>
          <w:rFonts w:ascii="Times New Roman" w:eastAsia="Times New Roman" w:hAnsi="Times New Roman" w:cs="Times New Roman"/>
          <w:sz w:val="24"/>
          <w:szCs w:val="24"/>
        </w:rPr>
        <w:t>те</w:t>
      </w:r>
      <w:r w:rsidRPr="004464CF">
        <w:rPr>
          <w:rFonts w:ascii="Times New Roman" w:eastAsia="Times New Roman" w:hAnsi="Times New Roman" w:cs="Times New Roman"/>
          <w:sz w:val="24"/>
          <w:szCs w:val="24"/>
        </w:rPr>
        <w:t xml:space="preserve"> ангажименти</w:t>
      </w:r>
      <w:r w:rsidR="00B21E59" w:rsidRPr="004464CF">
        <w:rPr>
          <w:rFonts w:ascii="Times New Roman" w:eastAsia="Times New Roman" w:hAnsi="Times New Roman" w:cs="Times New Roman"/>
          <w:sz w:val="24"/>
          <w:szCs w:val="24"/>
        </w:rPr>
        <w:t xml:space="preserve"> са</w:t>
      </w:r>
      <w:r w:rsidRPr="004464CF">
        <w:rPr>
          <w:rFonts w:ascii="Times New Roman" w:eastAsia="Times New Roman" w:hAnsi="Times New Roman" w:cs="Times New Roman"/>
          <w:sz w:val="24"/>
          <w:szCs w:val="24"/>
        </w:rPr>
        <w:t xml:space="preserve"> регламентирани в</w:t>
      </w:r>
      <w:r w:rsidR="00B21E59" w:rsidRPr="004464CF">
        <w:rPr>
          <w:rFonts w:ascii="Times New Roman" w:eastAsia="Times New Roman" w:hAnsi="Times New Roman" w:cs="Times New Roman"/>
          <w:sz w:val="24"/>
          <w:szCs w:val="24"/>
        </w:rPr>
        <w:t xml:space="preserve"> следните документи</w:t>
      </w:r>
      <w:r w:rsidRPr="004464CF">
        <w:rPr>
          <w:rFonts w:ascii="Times New Roman" w:eastAsia="Times New Roman" w:hAnsi="Times New Roman" w:cs="Times New Roman"/>
          <w:sz w:val="24"/>
          <w:szCs w:val="24"/>
        </w:rPr>
        <w:t>:</w:t>
      </w:r>
    </w:p>
    <w:p w:rsidR="008D624C" w:rsidRPr="004464CF" w:rsidRDefault="008D624C"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4464CF">
        <w:rPr>
          <w:rFonts w:ascii="Times New Roman" w:eastAsia="Times New Roman" w:hAnsi="Times New Roman" w:cs="Times New Roman"/>
          <w:sz w:val="24"/>
          <w:szCs w:val="24"/>
        </w:rPr>
        <w:lastRenderedPageBreak/>
        <w:t>Договор за неразпространение на ядреното оръжие (ДНЯО) (</w:t>
      </w:r>
      <w:r w:rsidR="009B34B7" w:rsidRPr="004464CF">
        <w:rPr>
          <w:rFonts w:ascii="Times New Roman" w:eastAsia="Times New Roman" w:hAnsi="Times New Roman" w:cs="Times New Roman"/>
          <w:sz w:val="24"/>
          <w:szCs w:val="24"/>
        </w:rPr>
        <w:t>р</w:t>
      </w:r>
      <w:r w:rsidRPr="004464CF">
        <w:rPr>
          <w:rFonts w:ascii="Times New Roman" w:eastAsia="Times New Roman" w:hAnsi="Times New Roman" w:cs="Times New Roman"/>
          <w:sz w:val="24"/>
          <w:szCs w:val="24"/>
        </w:rPr>
        <w:t xml:space="preserve">атифициран с Указ № 668 на Президиума на Народното събрание от 10.07.1969 г. </w:t>
      </w:r>
      <w:r w:rsidR="009B34B7" w:rsidRPr="004464CF">
        <w:rPr>
          <w:rFonts w:ascii="Times New Roman" w:eastAsia="Times New Roman" w:hAnsi="Times New Roman" w:cs="Times New Roman"/>
          <w:sz w:val="24"/>
          <w:szCs w:val="24"/>
        </w:rPr>
        <w:t>–</w:t>
      </w:r>
      <w:r w:rsidRPr="004464CF">
        <w:rPr>
          <w:rFonts w:ascii="Times New Roman" w:eastAsia="Times New Roman" w:hAnsi="Times New Roman" w:cs="Times New Roman"/>
          <w:sz w:val="24"/>
          <w:szCs w:val="24"/>
        </w:rPr>
        <w:t xml:space="preserve"> ДВ, бр. 55 от 15.07.1969 г. Обн., ДВ, бр. 39 от 18.05.1971 г. В сила за България от </w:t>
      </w:r>
      <w:r w:rsidR="009B34B7" w:rsidRPr="004464CF">
        <w:rPr>
          <w:rFonts w:ascii="Times New Roman" w:eastAsia="Times New Roman" w:hAnsi="Times New Roman" w:cs="Times New Roman"/>
          <w:sz w:val="24"/>
          <w:szCs w:val="24"/>
        </w:rPr>
        <w:t>0</w:t>
      </w:r>
      <w:r w:rsidRPr="004464CF">
        <w:rPr>
          <w:rFonts w:ascii="Times New Roman" w:eastAsia="Times New Roman" w:hAnsi="Times New Roman" w:cs="Times New Roman"/>
          <w:sz w:val="24"/>
          <w:szCs w:val="24"/>
        </w:rPr>
        <w:t>5.03.1970г.);</w:t>
      </w:r>
    </w:p>
    <w:p w:rsidR="008D624C" w:rsidRPr="004464CF" w:rsidRDefault="008D624C"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4464CF">
        <w:rPr>
          <w:rFonts w:ascii="Times New Roman" w:eastAsia="Times New Roman" w:hAnsi="Times New Roman" w:cs="Times New Roman"/>
          <w:sz w:val="24"/>
          <w:szCs w:val="24"/>
        </w:rPr>
        <w:t>Конвенция за ядрена безопасност (</w:t>
      </w:r>
      <w:r w:rsidR="009B34B7" w:rsidRPr="004464CF">
        <w:rPr>
          <w:rFonts w:ascii="Times New Roman" w:eastAsia="Times New Roman" w:hAnsi="Times New Roman" w:cs="Times New Roman"/>
          <w:sz w:val="24"/>
          <w:szCs w:val="24"/>
        </w:rPr>
        <w:t>р</w:t>
      </w:r>
      <w:r w:rsidRPr="004464CF">
        <w:rPr>
          <w:rFonts w:ascii="Times New Roman" w:eastAsia="Times New Roman" w:hAnsi="Times New Roman" w:cs="Times New Roman"/>
          <w:sz w:val="24"/>
          <w:szCs w:val="24"/>
        </w:rPr>
        <w:t>атифицирана със закон, приет от 37-</w:t>
      </w:r>
      <w:r w:rsidR="009B34B7" w:rsidRPr="004464CF">
        <w:rPr>
          <w:rFonts w:ascii="Times New Roman" w:eastAsia="Times New Roman" w:hAnsi="Times New Roman" w:cs="Times New Roman"/>
          <w:sz w:val="24"/>
          <w:szCs w:val="24"/>
        </w:rPr>
        <w:t>м</w:t>
      </w:r>
      <w:r w:rsidRPr="004464CF">
        <w:rPr>
          <w:rFonts w:ascii="Times New Roman" w:eastAsia="Times New Roman" w:hAnsi="Times New Roman" w:cs="Times New Roman"/>
          <w:sz w:val="24"/>
          <w:szCs w:val="24"/>
        </w:rPr>
        <w:t xml:space="preserve">о Народно събрание на 14.09.1995 г. </w:t>
      </w:r>
      <w:r w:rsidR="009B34B7" w:rsidRPr="004464CF">
        <w:rPr>
          <w:rFonts w:ascii="Times New Roman" w:eastAsia="Times New Roman" w:hAnsi="Times New Roman" w:cs="Times New Roman"/>
          <w:sz w:val="24"/>
          <w:szCs w:val="24"/>
        </w:rPr>
        <w:t>–</w:t>
      </w:r>
      <w:r w:rsidRPr="004464CF">
        <w:rPr>
          <w:rFonts w:ascii="Times New Roman" w:eastAsia="Times New Roman" w:hAnsi="Times New Roman" w:cs="Times New Roman"/>
          <w:sz w:val="24"/>
          <w:szCs w:val="24"/>
        </w:rPr>
        <w:t xml:space="preserve"> ДВ, бр. 86 от 1995 г. В сила за Република България от 24.10.1996 г. Издадена от Комитета за използване на атомната енергия за мирни цели, обн., ДВ, бр. 93 от </w:t>
      </w:r>
      <w:r w:rsidR="009B34B7" w:rsidRPr="004464CF">
        <w:rPr>
          <w:rFonts w:ascii="Times New Roman" w:eastAsia="Times New Roman" w:hAnsi="Times New Roman" w:cs="Times New Roman"/>
          <w:sz w:val="24"/>
          <w:szCs w:val="24"/>
        </w:rPr>
        <w:t>0</w:t>
      </w:r>
      <w:r w:rsidRPr="004464CF">
        <w:rPr>
          <w:rFonts w:ascii="Times New Roman" w:eastAsia="Times New Roman" w:hAnsi="Times New Roman" w:cs="Times New Roman"/>
          <w:sz w:val="24"/>
          <w:szCs w:val="24"/>
        </w:rPr>
        <w:t>1.11.1996 г.);</w:t>
      </w:r>
    </w:p>
    <w:p w:rsidR="008D624C" w:rsidRPr="004464CF" w:rsidRDefault="008D624C"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4464CF">
        <w:rPr>
          <w:rFonts w:ascii="Times New Roman" w:eastAsia="Times New Roman" w:hAnsi="Times New Roman" w:cs="Times New Roman"/>
          <w:sz w:val="24"/>
          <w:szCs w:val="24"/>
        </w:rPr>
        <w:t>Конвенция за оперативно уведомяване при ядрена авария (</w:t>
      </w:r>
      <w:r w:rsidR="009B34B7" w:rsidRPr="004464CF">
        <w:rPr>
          <w:rFonts w:ascii="Times New Roman" w:eastAsia="Times New Roman" w:hAnsi="Times New Roman" w:cs="Times New Roman"/>
          <w:sz w:val="24"/>
          <w:szCs w:val="24"/>
        </w:rPr>
        <w:t>р</w:t>
      </w:r>
      <w:r w:rsidRPr="004464CF">
        <w:rPr>
          <w:rFonts w:ascii="Times New Roman" w:eastAsia="Times New Roman" w:hAnsi="Times New Roman" w:cs="Times New Roman"/>
          <w:sz w:val="24"/>
          <w:szCs w:val="24"/>
        </w:rPr>
        <w:t xml:space="preserve">атифицирана с Указ № 3514 на Държавния съвет от 30.12.1987 г. </w:t>
      </w:r>
      <w:r w:rsidR="009B34B7" w:rsidRPr="004464CF">
        <w:rPr>
          <w:rFonts w:ascii="Times New Roman" w:eastAsia="Times New Roman" w:hAnsi="Times New Roman" w:cs="Times New Roman"/>
          <w:sz w:val="24"/>
          <w:szCs w:val="24"/>
        </w:rPr>
        <w:t>–</w:t>
      </w:r>
      <w:r w:rsidRPr="004464CF">
        <w:rPr>
          <w:rFonts w:ascii="Times New Roman" w:eastAsia="Times New Roman" w:hAnsi="Times New Roman" w:cs="Times New Roman"/>
          <w:sz w:val="24"/>
          <w:szCs w:val="24"/>
        </w:rPr>
        <w:t xml:space="preserve"> ДВ, бр. 2 </w:t>
      </w:r>
      <w:r w:rsidR="009B34B7" w:rsidRPr="004464CF">
        <w:rPr>
          <w:rFonts w:ascii="Times New Roman" w:eastAsia="Times New Roman" w:hAnsi="Times New Roman" w:cs="Times New Roman"/>
          <w:sz w:val="24"/>
          <w:szCs w:val="24"/>
        </w:rPr>
        <w:t>от 0</w:t>
      </w:r>
      <w:r w:rsidRPr="004464CF">
        <w:rPr>
          <w:rFonts w:ascii="Times New Roman" w:eastAsia="Times New Roman" w:hAnsi="Times New Roman" w:cs="Times New Roman"/>
          <w:sz w:val="24"/>
          <w:szCs w:val="24"/>
        </w:rPr>
        <w:t>8.01.1988 г. Издадена от Комитета за използване на атомната енергия за мирни цели, обн., ДВ, бр. 12 от 12.02.1988 г., в сила от 22.10.1986 г.);</w:t>
      </w:r>
    </w:p>
    <w:p w:rsidR="008D624C" w:rsidRPr="004464CF" w:rsidRDefault="008D624C"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4464CF">
        <w:rPr>
          <w:rFonts w:ascii="Times New Roman" w:eastAsia="Times New Roman" w:hAnsi="Times New Roman" w:cs="Times New Roman"/>
          <w:sz w:val="24"/>
          <w:szCs w:val="24"/>
        </w:rPr>
        <w:t>Конвенция за помощ в случай на ядрена авария или радиационна аварийна обстановка (</w:t>
      </w:r>
      <w:r w:rsidR="009B34B7" w:rsidRPr="004464CF">
        <w:rPr>
          <w:rFonts w:ascii="Times New Roman" w:eastAsia="Times New Roman" w:hAnsi="Times New Roman" w:cs="Times New Roman"/>
          <w:sz w:val="24"/>
          <w:szCs w:val="24"/>
        </w:rPr>
        <w:t>р</w:t>
      </w:r>
      <w:r w:rsidRPr="004464CF">
        <w:rPr>
          <w:rFonts w:ascii="Times New Roman" w:eastAsia="Times New Roman" w:hAnsi="Times New Roman" w:cs="Times New Roman"/>
          <w:sz w:val="24"/>
          <w:szCs w:val="24"/>
        </w:rPr>
        <w:t xml:space="preserve">атифицирана с Указ № 3514 на Държавния съвет от 30.12.1986 г. </w:t>
      </w:r>
      <w:r w:rsidR="009B34B7" w:rsidRPr="004464CF">
        <w:rPr>
          <w:rFonts w:ascii="Times New Roman" w:eastAsia="Times New Roman" w:hAnsi="Times New Roman" w:cs="Times New Roman"/>
          <w:sz w:val="24"/>
          <w:szCs w:val="24"/>
        </w:rPr>
        <w:t>–</w:t>
      </w:r>
      <w:r w:rsidRPr="004464CF">
        <w:rPr>
          <w:rFonts w:ascii="Times New Roman" w:eastAsia="Times New Roman" w:hAnsi="Times New Roman" w:cs="Times New Roman"/>
          <w:sz w:val="24"/>
          <w:szCs w:val="24"/>
        </w:rPr>
        <w:t xml:space="preserve"> бр. 2 от </w:t>
      </w:r>
      <w:r w:rsidR="009B34B7" w:rsidRPr="004464CF">
        <w:rPr>
          <w:rFonts w:ascii="Times New Roman" w:eastAsia="Times New Roman" w:hAnsi="Times New Roman" w:cs="Times New Roman"/>
          <w:sz w:val="24"/>
          <w:szCs w:val="24"/>
        </w:rPr>
        <w:t>0</w:t>
      </w:r>
      <w:r w:rsidRPr="004464CF">
        <w:rPr>
          <w:rFonts w:ascii="Times New Roman" w:eastAsia="Times New Roman" w:hAnsi="Times New Roman" w:cs="Times New Roman"/>
          <w:sz w:val="24"/>
          <w:szCs w:val="24"/>
        </w:rPr>
        <w:t>8.01.1988 г. Издадена от Комитета за използване на атомната енергия за мирни цели, обн., ДВ, бр. 13 от 16.02.1988 г., в сила от 26.02.1987 г.);</w:t>
      </w:r>
    </w:p>
    <w:p w:rsidR="008D624C" w:rsidRPr="004464CF" w:rsidRDefault="008D624C"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4464CF">
        <w:rPr>
          <w:rFonts w:ascii="Times New Roman" w:eastAsia="Times New Roman" w:hAnsi="Times New Roman" w:cs="Times New Roman"/>
          <w:sz w:val="24"/>
          <w:szCs w:val="24"/>
        </w:rPr>
        <w:t>Единна конвенция за безопасност при управление на отработено ядрено гориво и безопасност при управление на радиоактивни отпадъци (</w:t>
      </w:r>
      <w:r w:rsidR="009B34B7" w:rsidRPr="004464CF">
        <w:rPr>
          <w:rFonts w:ascii="Times New Roman" w:eastAsia="Times New Roman" w:hAnsi="Times New Roman" w:cs="Times New Roman"/>
          <w:sz w:val="24"/>
          <w:szCs w:val="24"/>
        </w:rPr>
        <w:t>р</w:t>
      </w:r>
      <w:r w:rsidRPr="004464CF">
        <w:rPr>
          <w:rFonts w:ascii="Times New Roman" w:eastAsia="Times New Roman" w:hAnsi="Times New Roman" w:cs="Times New Roman"/>
          <w:sz w:val="24"/>
          <w:szCs w:val="24"/>
        </w:rPr>
        <w:t xml:space="preserve">атифицирана със закон, приет от 38-мо Народно събрание на 10.05.2000 г. </w:t>
      </w:r>
      <w:r w:rsidR="009B34B7" w:rsidRPr="004464CF">
        <w:rPr>
          <w:rFonts w:ascii="Times New Roman" w:eastAsia="Times New Roman" w:hAnsi="Times New Roman" w:cs="Times New Roman"/>
          <w:sz w:val="24"/>
          <w:szCs w:val="24"/>
        </w:rPr>
        <w:t>–</w:t>
      </w:r>
      <w:r w:rsidRPr="004464CF">
        <w:rPr>
          <w:rFonts w:ascii="Times New Roman" w:eastAsia="Times New Roman" w:hAnsi="Times New Roman" w:cs="Times New Roman"/>
          <w:sz w:val="24"/>
          <w:szCs w:val="24"/>
        </w:rPr>
        <w:t xml:space="preserve"> ДВ, бр. 42 от 23.05.2000 г. Издадена от Комитета за използване на атомната енергия за мирни цели, обн., ДВ, бр. 63 от 17.07.2001 г., в сила от 18.06.2001 г.);</w:t>
      </w:r>
    </w:p>
    <w:p w:rsidR="008D624C" w:rsidRPr="004464CF" w:rsidRDefault="008D624C"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4464CF">
        <w:rPr>
          <w:rFonts w:ascii="Times New Roman" w:eastAsia="Times New Roman" w:hAnsi="Times New Roman" w:cs="Times New Roman"/>
          <w:sz w:val="24"/>
          <w:szCs w:val="24"/>
        </w:rPr>
        <w:t>Конвенция за физическа защита на ядрения материал(</w:t>
      </w:r>
      <w:r w:rsidR="009B34B7" w:rsidRPr="004464CF">
        <w:rPr>
          <w:rFonts w:ascii="Times New Roman" w:eastAsia="Times New Roman" w:hAnsi="Times New Roman" w:cs="Times New Roman"/>
          <w:sz w:val="24"/>
          <w:szCs w:val="24"/>
        </w:rPr>
        <w:t>р</w:t>
      </w:r>
      <w:r w:rsidRPr="004464CF">
        <w:rPr>
          <w:rFonts w:ascii="Times New Roman" w:eastAsia="Times New Roman" w:hAnsi="Times New Roman" w:cs="Times New Roman"/>
          <w:sz w:val="24"/>
          <w:szCs w:val="24"/>
        </w:rPr>
        <w:t xml:space="preserve">атифицирана с Указ № 341 на Държавния съвет от </w:t>
      </w:r>
      <w:r w:rsidR="009B34B7" w:rsidRPr="004464CF">
        <w:rPr>
          <w:rFonts w:ascii="Times New Roman" w:eastAsia="Times New Roman" w:hAnsi="Times New Roman" w:cs="Times New Roman"/>
          <w:sz w:val="24"/>
          <w:szCs w:val="24"/>
        </w:rPr>
        <w:t>0</w:t>
      </w:r>
      <w:r w:rsidRPr="004464CF">
        <w:rPr>
          <w:rFonts w:ascii="Times New Roman" w:eastAsia="Times New Roman" w:hAnsi="Times New Roman" w:cs="Times New Roman"/>
          <w:sz w:val="24"/>
          <w:szCs w:val="24"/>
        </w:rPr>
        <w:t xml:space="preserve">3.02.1984 г. </w:t>
      </w:r>
      <w:r w:rsidR="009B34B7" w:rsidRPr="004464CF">
        <w:rPr>
          <w:rFonts w:ascii="Times New Roman" w:eastAsia="Times New Roman" w:hAnsi="Times New Roman" w:cs="Times New Roman"/>
          <w:sz w:val="24"/>
          <w:szCs w:val="24"/>
        </w:rPr>
        <w:t>–</w:t>
      </w:r>
      <w:r w:rsidRPr="004464CF">
        <w:rPr>
          <w:rFonts w:ascii="Times New Roman" w:eastAsia="Times New Roman" w:hAnsi="Times New Roman" w:cs="Times New Roman"/>
          <w:sz w:val="24"/>
          <w:szCs w:val="24"/>
        </w:rPr>
        <w:t xml:space="preserve"> ДВ, бр. 12 10.02.1984 г. Издадена от Комитета за използване на атомната енергия за мирни цели, обн., ДВ, бр. 44 от </w:t>
      </w:r>
      <w:r w:rsidR="009B34B7" w:rsidRPr="004464CF">
        <w:rPr>
          <w:rFonts w:ascii="Times New Roman" w:eastAsia="Times New Roman" w:hAnsi="Times New Roman" w:cs="Times New Roman"/>
          <w:sz w:val="24"/>
          <w:szCs w:val="24"/>
        </w:rPr>
        <w:t>0</w:t>
      </w:r>
      <w:r w:rsidRPr="004464CF">
        <w:rPr>
          <w:rFonts w:ascii="Times New Roman" w:eastAsia="Times New Roman" w:hAnsi="Times New Roman" w:cs="Times New Roman"/>
          <w:sz w:val="24"/>
          <w:szCs w:val="24"/>
        </w:rPr>
        <w:t xml:space="preserve">9.06.1987 г., в сила от </w:t>
      </w:r>
      <w:r w:rsidR="009B34B7" w:rsidRPr="004464CF">
        <w:rPr>
          <w:rFonts w:ascii="Times New Roman" w:eastAsia="Times New Roman" w:hAnsi="Times New Roman" w:cs="Times New Roman"/>
          <w:sz w:val="24"/>
          <w:szCs w:val="24"/>
        </w:rPr>
        <w:t>0</w:t>
      </w:r>
      <w:r w:rsidRPr="004464CF">
        <w:rPr>
          <w:rFonts w:ascii="Times New Roman" w:eastAsia="Times New Roman" w:hAnsi="Times New Roman" w:cs="Times New Roman"/>
          <w:sz w:val="24"/>
          <w:szCs w:val="24"/>
        </w:rPr>
        <w:t>8.02.1987 г.);</w:t>
      </w:r>
    </w:p>
    <w:p w:rsidR="008D624C" w:rsidRPr="004464CF" w:rsidRDefault="008D624C"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4464CF">
        <w:rPr>
          <w:rFonts w:ascii="Times New Roman" w:eastAsia="Times New Roman" w:hAnsi="Times New Roman" w:cs="Times New Roman"/>
          <w:sz w:val="24"/>
          <w:szCs w:val="24"/>
        </w:rPr>
        <w:t>Виенска Конвенция за гражданска отговорност при ядрена вреда (</w:t>
      </w:r>
      <w:r w:rsidR="009B34B7" w:rsidRPr="004464CF">
        <w:rPr>
          <w:rFonts w:ascii="Times New Roman" w:eastAsia="Times New Roman" w:hAnsi="Times New Roman" w:cs="Times New Roman"/>
          <w:sz w:val="24"/>
          <w:szCs w:val="24"/>
        </w:rPr>
        <w:t>р</w:t>
      </w:r>
      <w:r w:rsidRPr="004464CF">
        <w:rPr>
          <w:rFonts w:ascii="Times New Roman" w:eastAsia="Times New Roman" w:hAnsi="Times New Roman" w:cs="Times New Roman"/>
          <w:sz w:val="24"/>
          <w:szCs w:val="24"/>
        </w:rPr>
        <w:t xml:space="preserve">атифицирана със закон от Народното събрание, приет на 27.07.1994 г. </w:t>
      </w:r>
      <w:r w:rsidR="009B34B7" w:rsidRPr="004464CF">
        <w:rPr>
          <w:rFonts w:ascii="Times New Roman" w:eastAsia="Times New Roman" w:hAnsi="Times New Roman" w:cs="Times New Roman"/>
          <w:sz w:val="24"/>
          <w:szCs w:val="24"/>
        </w:rPr>
        <w:t>–</w:t>
      </w:r>
      <w:r w:rsidRPr="004464CF">
        <w:rPr>
          <w:rFonts w:ascii="Times New Roman" w:eastAsia="Times New Roman" w:hAnsi="Times New Roman" w:cs="Times New Roman"/>
          <w:sz w:val="24"/>
          <w:szCs w:val="24"/>
        </w:rPr>
        <w:t xml:space="preserve"> ДВ, бр. 64 от </w:t>
      </w:r>
      <w:r w:rsidR="009B34B7" w:rsidRPr="004464CF">
        <w:rPr>
          <w:rFonts w:ascii="Times New Roman" w:eastAsia="Times New Roman" w:hAnsi="Times New Roman" w:cs="Times New Roman"/>
          <w:sz w:val="24"/>
          <w:szCs w:val="24"/>
        </w:rPr>
        <w:t>0</w:t>
      </w:r>
      <w:r w:rsidRPr="004464CF">
        <w:rPr>
          <w:rFonts w:ascii="Times New Roman" w:eastAsia="Times New Roman" w:hAnsi="Times New Roman" w:cs="Times New Roman"/>
          <w:sz w:val="24"/>
          <w:szCs w:val="24"/>
        </w:rPr>
        <w:t xml:space="preserve">9.08.1994 г. В сила за Република България от 24.11.1994 г. Издадена от Комитета за използване на атомната енергия за мирни цели при Министерския съвет, обн., ДВ, бр. 76 от 20.09.1994 г., попр., бр. 91 от </w:t>
      </w:r>
      <w:r w:rsidR="009B34B7" w:rsidRPr="004464CF">
        <w:rPr>
          <w:rFonts w:ascii="Times New Roman" w:eastAsia="Times New Roman" w:hAnsi="Times New Roman" w:cs="Times New Roman"/>
          <w:sz w:val="24"/>
          <w:szCs w:val="24"/>
        </w:rPr>
        <w:t>0</w:t>
      </w:r>
      <w:r w:rsidRPr="004464CF">
        <w:rPr>
          <w:rFonts w:ascii="Times New Roman" w:eastAsia="Times New Roman" w:hAnsi="Times New Roman" w:cs="Times New Roman"/>
          <w:sz w:val="24"/>
          <w:szCs w:val="24"/>
        </w:rPr>
        <w:t>4.11.1994 г.).</w:t>
      </w:r>
    </w:p>
    <w:p w:rsidR="008D624C" w:rsidRPr="004464CF" w:rsidRDefault="008D624C" w:rsidP="00E44C19">
      <w:pPr>
        <w:spacing w:before="120" w:after="120" w:line="240" w:lineRule="auto"/>
        <w:jc w:val="both"/>
        <w:rPr>
          <w:rFonts w:ascii="Times New Roman" w:eastAsia="Times New Roman" w:hAnsi="Times New Roman" w:cs="Times New Roman"/>
          <w:sz w:val="24"/>
          <w:szCs w:val="24"/>
        </w:rPr>
      </w:pPr>
      <w:r w:rsidRPr="004464CF">
        <w:rPr>
          <w:rFonts w:ascii="Times New Roman" w:eastAsia="Times New Roman" w:hAnsi="Times New Roman" w:cs="Times New Roman"/>
          <w:sz w:val="24"/>
          <w:szCs w:val="24"/>
        </w:rPr>
        <w:t>Европейско</w:t>
      </w:r>
      <w:r w:rsidR="00B21E59" w:rsidRPr="004464CF">
        <w:rPr>
          <w:rFonts w:ascii="Times New Roman" w:eastAsia="Times New Roman" w:hAnsi="Times New Roman" w:cs="Times New Roman"/>
          <w:sz w:val="24"/>
          <w:szCs w:val="24"/>
        </w:rPr>
        <w:t>то</w:t>
      </w:r>
      <w:r w:rsidRPr="004464CF">
        <w:rPr>
          <w:rFonts w:ascii="Times New Roman" w:eastAsia="Times New Roman" w:hAnsi="Times New Roman" w:cs="Times New Roman"/>
          <w:sz w:val="24"/>
          <w:szCs w:val="24"/>
        </w:rPr>
        <w:t xml:space="preserve"> законодателство</w:t>
      </w:r>
      <w:r w:rsidR="00B21E59" w:rsidRPr="004464CF">
        <w:rPr>
          <w:rFonts w:ascii="Times New Roman" w:eastAsia="Times New Roman" w:hAnsi="Times New Roman" w:cs="Times New Roman"/>
          <w:sz w:val="24"/>
          <w:szCs w:val="24"/>
        </w:rPr>
        <w:t xml:space="preserve"> е</w:t>
      </w:r>
      <w:r w:rsidRPr="004464CF">
        <w:rPr>
          <w:rFonts w:ascii="Times New Roman" w:eastAsia="Times New Roman" w:hAnsi="Times New Roman" w:cs="Times New Roman"/>
          <w:sz w:val="24"/>
          <w:szCs w:val="24"/>
        </w:rPr>
        <w:t xml:space="preserve"> регламентирано в</w:t>
      </w:r>
      <w:r w:rsidR="00B21E59" w:rsidRPr="004464CF">
        <w:rPr>
          <w:rFonts w:ascii="Times New Roman" w:eastAsia="Times New Roman" w:hAnsi="Times New Roman" w:cs="Times New Roman"/>
          <w:sz w:val="24"/>
          <w:szCs w:val="24"/>
        </w:rPr>
        <w:t xml:space="preserve"> следните актове</w:t>
      </w:r>
      <w:r w:rsidRPr="004464CF">
        <w:rPr>
          <w:rFonts w:ascii="Times New Roman" w:eastAsia="Times New Roman" w:hAnsi="Times New Roman" w:cs="Times New Roman"/>
          <w:sz w:val="24"/>
          <w:szCs w:val="24"/>
        </w:rPr>
        <w:t>:</w:t>
      </w:r>
    </w:p>
    <w:p w:rsidR="008D624C" w:rsidRPr="004464CF" w:rsidRDefault="008D624C"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4464CF">
        <w:rPr>
          <w:rFonts w:ascii="Times New Roman" w:eastAsia="Times New Roman" w:hAnsi="Times New Roman" w:cs="Times New Roman"/>
          <w:sz w:val="24"/>
          <w:szCs w:val="24"/>
        </w:rPr>
        <w:t>Договор за функционирането на Европейския съюз (ДФЕС) (консолидиран текст OB C 202 (2016))</w:t>
      </w:r>
      <w:r w:rsidR="009B34B7" w:rsidRPr="004464CF">
        <w:rPr>
          <w:rFonts w:ascii="Times New Roman" w:eastAsia="Times New Roman" w:hAnsi="Times New Roman" w:cs="Times New Roman"/>
          <w:sz w:val="24"/>
          <w:szCs w:val="24"/>
        </w:rPr>
        <w:t>;</w:t>
      </w:r>
    </w:p>
    <w:p w:rsidR="008D624C" w:rsidRPr="004464CF" w:rsidRDefault="008D624C"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4464CF">
        <w:rPr>
          <w:rFonts w:ascii="Times New Roman" w:eastAsia="Times New Roman" w:hAnsi="Times New Roman" w:cs="Times New Roman"/>
          <w:sz w:val="24"/>
          <w:szCs w:val="24"/>
        </w:rPr>
        <w:t>Договор за създаване на европейска общност по атомна енергия (Договор Е</w:t>
      </w:r>
      <w:r w:rsidR="00E20A8E" w:rsidRPr="004464CF">
        <w:rPr>
          <w:rFonts w:ascii="Times New Roman" w:eastAsia="Times New Roman" w:hAnsi="Times New Roman" w:cs="Times New Roman"/>
          <w:sz w:val="24"/>
          <w:szCs w:val="24"/>
        </w:rPr>
        <w:t>вратом</w:t>
      </w:r>
      <w:r w:rsidRPr="004464CF">
        <w:rPr>
          <w:rFonts w:ascii="Times New Roman" w:eastAsia="Times New Roman" w:hAnsi="Times New Roman" w:cs="Times New Roman"/>
          <w:sz w:val="24"/>
          <w:szCs w:val="24"/>
        </w:rPr>
        <w:t>) (OB C 203 (2016))</w:t>
      </w:r>
      <w:r w:rsidR="009B34B7" w:rsidRPr="004464CF">
        <w:rPr>
          <w:rFonts w:ascii="Times New Roman" w:eastAsia="Times New Roman" w:hAnsi="Times New Roman" w:cs="Times New Roman"/>
          <w:sz w:val="24"/>
          <w:szCs w:val="24"/>
        </w:rPr>
        <w:t>;</w:t>
      </w:r>
    </w:p>
    <w:p w:rsidR="008D624C" w:rsidRPr="004464CF" w:rsidRDefault="008D624C"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4464CF">
        <w:rPr>
          <w:rFonts w:ascii="Times New Roman" w:eastAsia="Times New Roman" w:hAnsi="Times New Roman" w:cs="Times New Roman"/>
          <w:sz w:val="24"/>
          <w:szCs w:val="24"/>
        </w:rPr>
        <w:t>Директива 2009/72/ЕО на Европейския парламент и на Съвета от 13</w:t>
      </w:r>
      <w:r w:rsidR="009B34B7" w:rsidRPr="004464CF">
        <w:rPr>
          <w:rFonts w:ascii="Times New Roman" w:eastAsia="Times New Roman" w:hAnsi="Times New Roman" w:cs="Times New Roman"/>
          <w:sz w:val="24"/>
          <w:szCs w:val="24"/>
        </w:rPr>
        <w:t>.07.</w:t>
      </w:r>
      <w:r w:rsidRPr="004464CF">
        <w:rPr>
          <w:rFonts w:ascii="Times New Roman" w:eastAsia="Times New Roman" w:hAnsi="Times New Roman" w:cs="Times New Roman"/>
          <w:sz w:val="24"/>
          <w:szCs w:val="24"/>
        </w:rPr>
        <w:t>2009 г. относно общите правила за вътрешния пазар на електроенергия и за отмяна на Директива 2003/54/ЕО (OB L 211, 14.</w:t>
      </w:r>
      <w:r w:rsidR="009B34B7" w:rsidRPr="004464CF">
        <w:rPr>
          <w:rFonts w:ascii="Times New Roman" w:eastAsia="Times New Roman" w:hAnsi="Times New Roman" w:cs="Times New Roman"/>
          <w:sz w:val="24"/>
          <w:szCs w:val="24"/>
        </w:rPr>
        <w:t>0</w:t>
      </w:r>
      <w:r w:rsidRPr="004464CF">
        <w:rPr>
          <w:rFonts w:ascii="Times New Roman" w:eastAsia="Times New Roman" w:hAnsi="Times New Roman" w:cs="Times New Roman"/>
          <w:sz w:val="24"/>
          <w:szCs w:val="24"/>
        </w:rPr>
        <w:t>8.2009г.)</w:t>
      </w:r>
      <w:r w:rsidR="009B34B7" w:rsidRPr="004464CF">
        <w:rPr>
          <w:rFonts w:ascii="Times New Roman" w:eastAsia="Times New Roman" w:hAnsi="Times New Roman" w:cs="Times New Roman"/>
          <w:sz w:val="24"/>
          <w:szCs w:val="24"/>
        </w:rPr>
        <w:t>;</w:t>
      </w:r>
    </w:p>
    <w:p w:rsidR="008D624C" w:rsidRPr="004464CF" w:rsidRDefault="008D624C"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4464CF">
        <w:rPr>
          <w:rFonts w:ascii="Times New Roman" w:eastAsia="Times New Roman" w:hAnsi="Times New Roman" w:cs="Times New Roman"/>
          <w:sz w:val="24"/>
          <w:szCs w:val="24"/>
        </w:rPr>
        <w:t>Регламент (ЕС) № 256/2014 на Европейския парламент и на Съвета от 26</w:t>
      </w:r>
      <w:r w:rsidR="009B34B7" w:rsidRPr="004464CF">
        <w:rPr>
          <w:rFonts w:ascii="Times New Roman" w:eastAsia="Times New Roman" w:hAnsi="Times New Roman" w:cs="Times New Roman"/>
          <w:sz w:val="24"/>
          <w:szCs w:val="24"/>
        </w:rPr>
        <w:t>.02.</w:t>
      </w:r>
      <w:r w:rsidRPr="004464CF">
        <w:rPr>
          <w:rFonts w:ascii="Times New Roman" w:eastAsia="Times New Roman" w:hAnsi="Times New Roman" w:cs="Times New Roman"/>
          <w:sz w:val="24"/>
          <w:szCs w:val="24"/>
        </w:rPr>
        <w:t>2014 г</w:t>
      </w:r>
      <w:r w:rsidR="009B34B7" w:rsidRPr="004464CF">
        <w:rPr>
          <w:rFonts w:ascii="Times New Roman" w:eastAsia="Times New Roman" w:hAnsi="Times New Roman" w:cs="Times New Roman"/>
          <w:sz w:val="24"/>
          <w:szCs w:val="24"/>
        </w:rPr>
        <w:t>.</w:t>
      </w:r>
      <w:r w:rsidRPr="004464CF">
        <w:rPr>
          <w:rFonts w:ascii="Times New Roman" w:eastAsia="Times New Roman" w:hAnsi="Times New Roman" w:cs="Times New Roman"/>
          <w:sz w:val="24"/>
          <w:szCs w:val="24"/>
        </w:rPr>
        <w:t xml:space="preserve"> относно нотифицирането до Комисията на инвестиционните проекти в областта на енергийната инфраструктура в Европейския съюз, за замяна на Регламент (ЕС, Евратом) № 617/2010 и за отмяна на Регламент (ЕО) № 736/96 на Съвета (OB L 84, 20.</w:t>
      </w:r>
      <w:r w:rsidR="009B34B7" w:rsidRPr="004464CF">
        <w:rPr>
          <w:rFonts w:ascii="Times New Roman" w:eastAsia="Times New Roman" w:hAnsi="Times New Roman" w:cs="Times New Roman"/>
          <w:sz w:val="24"/>
          <w:szCs w:val="24"/>
        </w:rPr>
        <w:t>0</w:t>
      </w:r>
      <w:r w:rsidRPr="004464CF">
        <w:rPr>
          <w:rFonts w:ascii="Times New Roman" w:eastAsia="Times New Roman" w:hAnsi="Times New Roman" w:cs="Times New Roman"/>
          <w:sz w:val="24"/>
          <w:szCs w:val="24"/>
        </w:rPr>
        <w:t>3.2014г.)</w:t>
      </w:r>
      <w:r w:rsidR="009B34B7" w:rsidRPr="004464CF">
        <w:rPr>
          <w:rFonts w:ascii="Times New Roman" w:eastAsia="Times New Roman" w:hAnsi="Times New Roman" w:cs="Times New Roman"/>
          <w:sz w:val="24"/>
          <w:szCs w:val="24"/>
        </w:rPr>
        <w:t>;</w:t>
      </w:r>
    </w:p>
    <w:p w:rsidR="008D624C" w:rsidRPr="008D624C" w:rsidRDefault="008D624C"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Регламент за изпълнение (ЕС) № 1113/2014 на Комисията от 16</w:t>
      </w:r>
      <w:r w:rsidR="009B34B7">
        <w:rPr>
          <w:rFonts w:ascii="Times New Roman" w:eastAsia="Times New Roman" w:hAnsi="Times New Roman" w:cs="Times New Roman"/>
          <w:sz w:val="24"/>
          <w:szCs w:val="24"/>
        </w:rPr>
        <w:t>.10.</w:t>
      </w:r>
      <w:r w:rsidRPr="008D624C">
        <w:rPr>
          <w:rFonts w:ascii="Times New Roman" w:eastAsia="Times New Roman" w:hAnsi="Times New Roman" w:cs="Times New Roman"/>
          <w:sz w:val="24"/>
          <w:szCs w:val="24"/>
        </w:rPr>
        <w:t>2014 г</w:t>
      </w:r>
      <w:r w:rsidR="009B34B7">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за установяване на формата и техническите подробности за нотификация, посочена в членове 3 и 5 от Регламент (ЕС) № 256/2014 на Европейския парламент и на Съвета, </w:t>
      </w:r>
      <w:r w:rsidRPr="008D624C">
        <w:rPr>
          <w:rFonts w:ascii="Times New Roman" w:eastAsia="Times New Roman" w:hAnsi="Times New Roman" w:cs="Times New Roman"/>
          <w:sz w:val="24"/>
          <w:szCs w:val="24"/>
        </w:rPr>
        <w:lastRenderedPageBreak/>
        <w:t>и за отмяна на Регламенти (ЕО) № 2386/96 и (ЕС, Евратом) № 833/2010 на Комисията (OB L 302, 22.10.2014г.)</w:t>
      </w:r>
      <w:r w:rsidR="009B34B7">
        <w:rPr>
          <w:rFonts w:ascii="Times New Roman" w:eastAsia="Times New Roman" w:hAnsi="Times New Roman" w:cs="Times New Roman"/>
          <w:sz w:val="24"/>
          <w:szCs w:val="24"/>
        </w:rPr>
        <w:t>;</w:t>
      </w:r>
    </w:p>
    <w:p w:rsidR="008D624C" w:rsidRPr="008D624C" w:rsidRDefault="008D624C"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Регламент (Е</w:t>
      </w:r>
      <w:r w:rsidR="00E20A8E" w:rsidRPr="008D624C">
        <w:rPr>
          <w:rFonts w:ascii="Times New Roman" w:eastAsia="Times New Roman" w:hAnsi="Times New Roman" w:cs="Times New Roman"/>
          <w:sz w:val="24"/>
          <w:szCs w:val="24"/>
        </w:rPr>
        <w:t>вратом</w:t>
      </w:r>
      <w:r w:rsidRPr="008D624C">
        <w:rPr>
          <w:rFonts w:ascii="Times New Roman" w:eastAsia="Times New Roman" w:hAnsi="Times New Roman" w:cs="Times New Roman"/>
          <w:sz w:val="24"/>
          <w:szCs w:val="24"/>
        </w:rPr>
        <w:t xml:space="preserve">) № 2587/1999 </w:t>
      </w:r>
      <w:r w:rsidR="009B34B7" w:rsidRPr="008D624C">
        <w:rPr>
          <w:rFonts w:ascii="Times New Roman" w:eastAsia="Times New Roman" w:hAnsi="Times New Roman" w:cs="Times New Roman"/>
          <w:sz w:val="24"/>
          <w:szCs w:val="24"/>
        </w:rPr>
        <w:t>на</w:t>
      </w:r>
      <w:r w:rsidRPr="008D624C">
        <w:rPr>
          <w:rFonts w:ascii="Times New Roman" w:eastAsia="Times New Roman" w:hAnsi="Times New Roman" w:cs="Times New Roman"/>
          <w:sz w:val="24"/>
          <w:szCs w:val="24"/>
        </w:rPr>
        <w:t xml:space="preserve"> С</w:t>
      </w:r>
      <w:r w:rsidR="009B34B7" w:rsidRPr="008D624C">
        <w:rPr>
          <w:rFonts w:ascii="Times New Roman" w:eastAsia="Times New Roman" w:hAnsi="Times New Roman" w:cs="Times New Roman"/>
          <w:sz w:val="24"/>
          <w:szCs w:val="24"/>
        </w:rPr>
        <w:t>ъвета</w:t>
      </w:r>
      <w:r w:rsidRPr="008D624C">
        <w:rPr>
          <w:rFonts w:ascii="Times New Roman" w:eastAsia="Times New Roman" w:hAnsi="Times New Roman" w:cs="Times New Roman"/>
          <w:sz w:val="24"/>
          <w:szCs w:val="24"/>
        </w:rPr>
        <w:t xml:space="preserve"> от </w:t>
      </w:r>
      <w:r w:rsidR="009B34B7">
        <w:rPr>
          <w:rFonts w:ascii="Times New Roman" w:eastAsia="Times New Roman" w:hAnsi="Times New Roman" w:cs="Times New Roman"/>
          <w:sz w:val="24"/>
          <w:szCs w:val="24"/>
        </w:rPr>
        <w:t>0</w:t>
      </w:r>
      <w:r w:rsidRPr="008D624C">
        <w:rPr>
          <w:rFonts w:ascii="Times New Roman" w:eastAsia="Times New Roman" w:hAnsi="Times New Roman" w:cs="Times New Roman"/>
          <w:sz w:val="24"/>
          <w:szCs w:val="24"/>
        </w:rPr>
        <w:t>2</w:t>
      </w:r>
      <w:r w:rsidR="009B34B7">
        <w:rPr>
          <w:rFonts w:ascii="Times New Roman" w:eastAsia="Times New Roman" w:hAnsi="Times New Roman" w:cs="Times New Roman"/>
          <w:sz w:val="24"/>
          <w:szCs w:val="24"/>
        </w:rPr>
        <w:t>.12.</w:t>
      </w:r>
      <w:r w:rsidRPr="008D624C">
        <w:rPr>
          <w:rFonts w:ascii="Times New Roman" w:eastAsia="Times New Roman" w:hAnsi="Times New Roman" w:cs="Times New Roman"/>
          <w:sz w:val="24"/>
          <w:szCs w:val="24"/>
        </w:rPr>
        <w:t>1999 г</w:t>
      </w:r>
      <w:r w:rsidR="009B34B7">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относно определянето на инвестиционните проекти, които следва да се съобщават на Комисията в съответствие с член 41 от Договора за създаване на Европейската общност за атомна енергия (OB L 315, </w:t>
      </w:r>
      <w:r w:rsidR="00E20A8E">
        <w:rPr>
          <w:rFonts w:ascii="Times New Roman" w:eastAsia="Times New Roman" w:hAnsi="Times New Roman" w:cs="Times New Roman"/>
          <w:sz w:val="24"/>
          <w:szCs w:val="24"/>
        </w:rPr>
        <w:t>0</w:t>
      </w:r>
      <w:r w:rsidRPr="008D624C">
        <w:rPr>
          <w:rFonts w:ascii="Times New Roman" w:eastAsia="Times New Roman" w:hAnsi="Times New Roman" w:cs="Times New Roman"/>
          <w:sz w:val="24"/>
          <w:szCs w:val="24"/>
        </w:rPr>
        <w:t>9.12.1999г.)</w:t>
      </w:r>
      <w:r w:rsidR="00E20A8E">
        <w:rPr>
          <w:rFonts w:ascii="Times New Roman" w:eastAsia="Times New Roman" w:hAnsi="Times New Roman" w:cs="Times New Roman"/>
          <w:sz w:val="24"/>
          <w:szCs w:val="24"/>
        </w:rPr>
        <w:t>;</w:t>
      </w:r>
    </w:p>
    <w:p w:rsidR="008D624C" w:rsidRPr="008D624C" w:rsidRDefault="008D624C"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Регламент (ЕО) № 1209/2000 на Комисията от </w:t>
      </w:r>
      <w:r w:rsidR="00E20A8E">
        <w:rPr>
          <w:rFonts w:ascii="Times New Roman" w:eastAsia="Times New Roman" w:hAnsi="Times New Roman" w:cs="Times New Roman"/>
          <w:sz w:val="24"/>
          <w:szCs w:val="24"/>
        </w:rPr>
        <w:t>0</w:t>
      </w:r>
      <w:r w:rsidRPr="008D624C">
        <w:rPr>
          <w:rFonts w:ascii="Times New Roman" w:eastAsia="Times New Roman" w:hAnsi="Times New Roman" w:cs="Times New Roman"/>
          <w:sz w:val="24"/>
          <w:szCs w:val="24"/>
        </w:rPr>
        <w:t>8</w:t>
      </w:r>
      <w:r w:rsidR="00E20A8E">
        <w:rPr>
          <w:rFonts w:ascii="Times New Roman" w:eastAsia="Times New Roman" w:hAnsi="Times New Roman" w:cs="Times New Roman"/>
          <w:sz w:val="24"/>
          <w:szCs w:val="24"/>
        </w:rPr>
        <w:t>.06.</w:t>
      </w:r>
      <w:r w:rsidRPr="008D624C">
        <w:rPr>
          <w:rFonts w:ascii="Times New Roman" w:eastAsia="Times New Roman" w:hAnsi="Times New Roman" w:cs="Times New Roman"/>
          <w:sz w:val="24"/>
          <w:szCs w:val="24"/>
        </w:rPr>
        <w:t>2000 г</w:t>
      </w:r>
      <w:r w:rsidR="00E20A8E">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относно определянето на процедурите за осъществяване на съобщенията, предвидени в член 41 от Договора за създаване на Европейската общност за атомна енергия (OB L 138, </w:t>
      </w:r>
      <w:r w:rsidR="00E20A8E">
        <w:rPr>
          <w:rFonts w:ascii="Times New Roman" w:eastAsia="Times New Roman" w:hAnsi="Times New Roman" w:cs="Times New Roman"/>
          <w:sz w:val="24"/>
          <w:szCs w:val="24"/>
        </w:rPr>
        <w:t>0</w:t>
      </w:r>
      <w:r w:rsidRPr="008D624C">
        <w:rPr>
          <w:rFonts w:ascii="Times New Roman" w:eastAsia="Times New Roman" w:hAnsi="Times New Roman" w:cs="Times New Roman"/>
          <w:sz w:val="24"/>
          <w:szCs w:val="24"/>
        </w:rPr>
        <w:t>9.</w:t>
      </w:r>
      <w:r w:rsidR="00E20A8E">
        <w:rPr>
          <w:rFonts w:ascii="Times New Roman" w:eastAsia="Times New Roman" w:hAnsi="Times New Roman" w:cs="Times New Roman"/>
          <w:sz w:val="24"/>
          <w:szCs w:val="24"/>
        </w:rPr>
        <w:t>0</w:t>
      </w:r>
      <w:r w:rsidRPr="008D624C">
        <w:rPr>
          <w:rFonts w:ascii="Times New Roman" w:eastAsia="Times New Roman" w:hAnsi="Times New Roman" w:cs="Times New Roman"/>
          <w:sz w:val="24"/>
          <w:szCs w:val="24"/>
        </w:rPr>
        <w:t>6.2000г.)</w:t>
      </w:r>
      <w:r w:rsidR="00E20A8E">
        <w:rPr>
          <w:rFonts w:ascii="Times New Roman" w:eastAsia="Times New Roman" w:hAnsi="Times New Roman" w:cs="Times New Roman"/>
          <w:sz w:val="24"/>
          <w:szCs w:val="24"/>
        </w:rPr>
        <w:t>;</w:t>
      </w:r>
    </w:p>
    <w:p w:rsidR="008D624C" w:rsidRPr="008D624C" w:rsidRDefault="008D624C"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Директива 2011/70/Е</w:t>
      </w:r>
      <w:r w:rsidR="00E20A8E" w:rsidRPr="008D624C">
        <w:rPr>
          <w:rFonts w:ascii="Times New Roman" w:eastAsia="Times New Roman" w:hAnsi="Times New Roman" w:cs="Times New Roman"/>
          <w:sz w:val="24"/>
          <w:szCs w:val="24"/>
        </w:rPr>
        <w:t>вратом</w:t>
      </w:r>
      <w:r w:rsidRPr="008D624C">
        <w:rPr>
          <w:rFonts w:ascii="Times New Roman" w:eastAsia="Times New Roman" w:hAnsi="Times New Roman" w:cs="Times New Roman"/>
          <w:sz w:val="24"/>
          <w:szCs w:val="24"/>
        </w:rPr>
        <w:t xml:space="preserve"> на Съвета от 19</w:t>
      </w:r>
      <w:r w:rsidR="00E20A8E">
        <w:rPr>
          <w:rFonts w:ascii="Times New Roman" w:eastAsia="Times New Roman" w:hAnsi="Times New Roman" w:cs="Times New Roman"/>
          <w:sz w:val="24"/>
          <w:szCs w:val="24"/>
        </w:rPr>
        <w:t>.07.</w:t>
      </w:r>
      <w:r w:rsidRPr="008D624C">
        <w:rPr>
          <w:rFonts w:ascii="Times New Roman" w:eastAsia="Times New Roman" w:hAnsi="Times New Roman" w:cs="Times New Roman"/>
          <w:sz w:val="24"/>
          <w:szCs w:val="24"/>
        </w:rPr>
        <w:t>2011 г</w:t>
      </w:r>
      <w:r w:rsidR="00E20A8E">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за създаване на рамка на Общността за отговорно и безопасно управление на отработено гориво и радиоактивни отпадъци (OB L 199, </w:t>
      </w:r>
      <w:r w:rsidR="00E20A8E">
        <w:rPr>
          <w:rFonts w:ascii="Times New Roman" w:eastAsia="Times New Roman" w:hAnsi="Times New Roman" w:cs="Times New Roman"/>
          <w:sz w:val="24"/>
          <w:szCs w:val="24"/>
        </w:rPr>
        <w:t>0</w:t>
      </w:r>
      <w:r w:rsidRPr="008D624C">
        <w:rPr>
          <w:rFonts w:ascii="Times New Roman" w:eastAsia="Times New Roman" w:hAnsi="Times New Roman" w:cs="Times New Roman"/>
          <w:sz w:val="24"/>
          <w:szCs w:val="24"/>
        </w:rPr>
        <w:t>2.</w:t>
      </w:r>
      <w:r w:rsidR="00E20A8E">
        <w:rPr>
          <w:rFonts w:ascii="Times New Roman" w:eastAsia="Times New Roman" w:hAnsi="Times New Roman" w:cs="Times New Roman"/>
          <w:sz w:val="24"/>
          <w:szCs w:val="24"/>
        </w:rPr>
        <w:t>0</w:t>
      </w:r>
      <w:r w:rsidRPr="008D624C">
        <w:rPr>
          <w:rFonts w:ascii="Times New Roman" w:eastAsia="Times New Roman" w:hAnsi="Times New Roman" w:cs="Times New Roman"/>
          <w:sz w:val="24"/>
          <w:szCs w:val="24"/>
        </w:rPr>
        <w:t>8.2011г.)</w:t>
      </w:r>
      <w:r w:rsidR="00E20A8E">
        <w:rPr>
          <w:rFonts w:ascii="Times New Roman" w:eastAsia="Times New Roman" w:hAnsi="Times New Roman" w:cs="Times New Roman"/>
          <w:sz w:val="24"/>
          <w:szCs w:val="24"/>
        </w:rPr>
        <w:t>;</w:t>
      </w:r>
    </w:p>
    <w:p w:rsidR="008D624C" w:rsidRPr="008D624C" w:rsidRDefault="008D624C"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Директива 2013/59/Евратом на Съвета от </w:t>
      </w:r>
      <w:r w:rsidR="00E20A8E">
        <w:rPr>
          <w:rFonts w:ascii="Times New Roman" w:eastAsia="Times New Roman" w:hAnsi="Times New Roman" w:cs="Times New Roman"/>
          <w:sz w:val="24"/>
          <w:szCs w:val="24"/>
        </w:rPr>
        <w:t>0</w:t>
      </w:r>
      <w:r w:rsidRPr="008D624C">
        <w:rPr>
          <w:rFonts w:ascii="Times New Roman" w:eastAsia="Times New Roman" w:hAnsi="Times New Roman" w:cs="Times New Roman"/>
          <w:sz w:val="24"/>
          <w:szCs w:val="24"/>
        </w:rPr>
        <w:t>5</w:t>
      </w:r>
      <w:r w:rsidR="00E20A8E">
        <w:rPr>
          <w:rFonts w:ascii="Times New Roman" w:eastAsia="Times New Roman" w:hAnsi="Times New Roman" w:cs="Times New Roman"/>
          <w:sz w:val="24"/>
          <w:szCs w:val="24"/>
        </w:rPr>
        <w:t>.12.</w:t>
      </w:r>
      <w:r w:rsidRPr="008D624C">
        <w:rPr>
          <w:rFonts w:ascii="Times New Roman" w:eastAsia="Times New Roman" w:hAnsi="Times New Roman" w:cs="Times New Roman"/>
          <w:sz w:val="24"/>
          <w:szCs w:val="24"/>
        </w:rPr>
        <w:t>2013 г</w:t>
      </w:r>
      <w:r w:rsidR="00E20A8E">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за определяне на основни норми на безопасност за защита срещу опасностите, произтичащи от излагане на йонизиращо лъчение и за отмяна на директиви 89/618/Евратом, 90/641/Евратом, 96/29/Евратом, 97/43/Евратом и 2003/122/Евратом (OB L 13, 17.</w:t>
      </w:r>
      <w:r w:rsidR="00E20A8E">
        <w:rPr>
          <w:rFonts w:ascii="Times New Roman" w:eastAsia="Times New Roman" w:hAnsi="Times New Roman" w:cs="Times New Roman"/>
          <w:sz w:val="24"/>
          <w:szCs w:val="24"/>
        </w:rPr>
        <w:t>0</w:t>
      </w:r>
      <w:r w:rsidRPr="008D624C">
        <w:rPr>
          <w:rFonts w:ascii="Times New Roman" w:eastAsia="Times New Roman" w:hAnsi="Times New Roman" w:cs="Times New Roman"/>
          <w:sz w:val="24"/>
          <w:szCs w:val="24"/>
        </w:rPr>
        <w:t>1.2014г.)</w:t>
      </w:r>
      <w:r w:rsidR="00E20A8E">
        <w:rPr>
          <w:rFonts w:ascii="Times New Roman" w:eastAsia="Times New Roman" w:hAnsi="Times New Roman" w:cs="Times New Roman"/>
          <w:sz w:val="24"/>
          <w:szCs w:val="24"/>
        </w:rPr>
        <w:t>;</w:t>
      </w:r>
    </w:p>
    <w:p w:rsidR="008D624C" w:rsidRPr="008D624C" w:rsidRDefault="008D624C"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Директива 2014/87/Евратом на Съвета от </w:t>
      </w:r>
      <w:r w:rsidR="00E20A8E">
        <w:rPr>
          <w:rFonts w:ascii="Times New Roman" w:eastAsia="Times New Roman" w:hAnsi="Times New Roman" w:cs="Times New Roman"/>
          <w:sz w:val="24"/>
          <w:szCs w:val="24"/>
        </w:rPr>
        <w:t>0</w:t>
      </w:r>
      <w:r w:rsidRPr="008D624C">
        <w:rPr>
          <w:rFonts w:ascii="Times New Roman" w:eastAsia="Times New Roman" w:hAnsi="Times New Roman" w:cs="Times New Roman"/>
          <w:sz w:val="24"/>
          <w:szCs w:val="24"/>
        </w:rPr>
        <w:t>8</w:t>
      </w:r>
      <w:r w:rsidR="00E20A8E">
        <w:rPr>
          <w:rFonts w:ascii="Times New Roman" w:eastAsia="Times New Roman" w:hAnsi="Times New Roman" w:cs="Times New Roman"/>
          <w:sz w:val="24"/>
          <w:szCs w:val="24"/>
        </w:rPr>
        <w:t>.07.</w:t>
      </w:r>
      <w:r w:rsidRPr="008D624C">
        <w:rPr>
          <w:rFonts w:ascii="Times New Roman" w:eastAsia="Times New Roman" w:hAnsi="Times New Roman" w:cs="Times New Roman"/>
          <w:sz w:val="24"/>
          <w:szCs w:val="24"/>
        </w:rPr>
        <w:t>2014 г</w:t>
      </w:r>
      <w:r w:rsidR="00E20A8E">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за изменение на Директива 2009/71/Евратом за установяване на общностна рамка за ядрената безопасност на ядрените инсталации (OB L 219, 25.</w:t>
      </w:r>
      <w:r w:rsidR="00E20A8E">
        <w:rPr>
          <w:rFonts w:ascii="Times New Roman" w:eastAsia="Times New Roman" w:hAnsi="Times New Roman" w:cs="Times New Roman"/>
          <w:sz w:val="24"/>
          <w:szCs w:val="24"/>
        </w:rPr>
        <w:t>0</w:t>
      </w:r>
      <w:r w:rsidRPr="008D624C">
        <w:rPr>
          <w:rFonts w:ascii="Times New Roman" w:eastAsia="Times New Roman" w:hAnsi="Times New Roman" w:cs="Times New Roman"/>
          <w:sz w:val="24"/>
          <w:szCs w:val="24"/>
        </w:rPr>
        <w:t>7.2014г.)</w:t>
      </w:r>
      <w:r w:rsidR="00E20A8E">
        <w:rPr>
          <w:rFonts w:ascii="Times New Roman" w:eastAsia="Times New Roman" w:hAnsi="Times New Roman" w:cs="Times New Roman"/>
          <w:sz w:val="24"/>
          <w:szCs w:val="24"/>
        </w:rPr>
        <w:t>.</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Национално</w:t>
      </w:r>
      <w:r w:rsidR="00B21E59">
        <w:rPr>
          <w:rFonts w:ascii="Times New Roman" w:eastAsia="Times New Roman" w:hAnsi="Times New Roman" w:cs="Times New Roman"/>
          <w:sz w:val="24"/>
          <w:szCs w:val="24"/>
        </w:rPr>
        <w:t>то</w:t>
      </w:r>
      <w:r w:rsidRPr="008D624C">
        <w:rPr>
          <w:rFonts w:ascii="Times New Roman" w:eastAsia="Times New Roman" w:hAnsi="Times New Roman" w:cs="Times New Roman"/>
          <w:sz w:val="24"/>
          <w:szCs w:val="24"/>
        </w:rPr>
        <w:t xml:space="preserve"> законодателство</w:t>
      </w:r>
      <w:r w:rsidR="00B21E59">
        <w:rPr>
          <w:rFonts w:ascii="Times New Roman" w:eastAsia="Times New Roman" w:hAnsi="Times New Roman" w:cs="Times New Roman"/>
          <w:sz w:val="24"/>
          <w:szCs w:val="24"/>
        </w:rPr>
        <w:t xml:space="preserve"> в разглежданата област произтича от следните документи</w:t>
      </w:r>
      <w:r w:rsidRPr="008D624C">
        <w:rPr>
          <w:rFonts w:ascii="Times New Roman" w:eastAsia="Times New Roman" w:hAnsi="Times New Roman" w:cs="Times New Roman"/>
          <w:sz w:val="24"/>
          <w:szCs w:val="24"/>
        </w:rPr>
        <w:t>:</w:t>
      </w:r>
    </w:p>
    <w:p w:rsidR="00AB3426" w:rsidRPr="00AB3426" w:rsidRDefault="00AB3426"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AB3426">
        <w:rPr>
          <w:rFonts w:ascii="Times New Roman" w:eastAsia="Times New Roman" w:hAnsi="Times New Roman" w:cs="Times New Roman"/>
          <w:sz w:val="24"/>
          <w:szCs w:val="24"/>
        </w:rPr>
        <w:t>Закон за енергетиката (Обн., ДВ, бр. 107 от 9.12.2003 г., изм. и доп. доп. ДВ. бр.51 от 27 Юни 2017г., изм. ДВ. бр.58 от 18 Юли 2017г.)</w:t>
      </w:r>
    </w:p>
    <w:p w:rsidR="00AB3426" w:rsidRPr="00AB3426" w:rsidRDefault="00AB3426"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AB3426">
        <w:rPr>
          <w:rFonts w:ascii="Times New Roman" w:eastAsia="Times New Roman" w:hAnsi="Times New Roman" w:cs="Times New Roman"/>
          <w:sz w:val="24"/>
          <w:szCs w:val="24"/>
        </w:rPr>
        <w:t>Закон за устройство на територията (Обн., ДВ, бр. 1 от 2.02.2001 г., в сила от 31.03.2001 г., изм. и доп., бр.13 от 7.02.2017 г., изм. и доп. ДВ. бр.63 от 4 Август 2017г.)</w:t>
      </w:r>
    </w:p>
    <w:p w:rsidR="00AB3426" w:rsidRPr="00AB3426" w:rsidRDefault="00AB3426"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AB3426">
        <w:rPr>
          <w:rFonts w:ascii="Times New Roman" w:eastAsia="Times New Roman" w:hAnsi="Times New Roman" w:cs="Times New Roman"/>
          <w:sz w:val="24"/>
          <w:szCs w:val="24"/>
        </w:rPr>
        <w:t>Закон за безопасно използване на ядрената енергия (Обн., ДВ, бр. 63 от 28.06.2002 г., изм. и доп., бр.14 от 14.02.2015 г. изм. ДВ. бр.58 от 18 Юли 2017г.)</w:t>
      </w:r>
    </w:p>
    <w:p w:rsidR="008D624C" w:rsidRPr="008D624C" w:rsidRDefault="008D624C"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Наредба за реда за издаване на лицензии и разрешения за безопасно използване на ядрената енергия (приета с ПМС № 93 от </w:t>
      </w:r>
      <w:r w:rsidR="00E20A8E">
        <w:rPr>
          <w:rFonts w:ascii="Times New Roman" w:eastAsia="Times New Roman" w:hAnsi="Times New Roman" w:cs="Times New Roman"/>
          <w:sz w:val="24"/>
          <w:szCs w:val="24"/>
        </w:rPr>
        <w:t>0</w:t>
      </w:r>
      <w:r w:rsidRPr="008D624C">
        <w:rPr>
          <w:rFonts w:ascii="Times New Roman" w:eastAsia="Times New Roman" w:hAnsi="Times New Roman" w:cs="Times New Roman"/>
          <w:sz w:val="24"/>
          <w:szCs w:val="24"/>
        </w:rPr>
        <w:t xml:space="preserve">4.05.2004 г., изм. и доп., бр. 76 от </w:t>
      </w:r>
      <w:r w:rsidR="00E20A8E">
        <w:rPr>
          <w:rFonts w:ascii="Times New Roman" w:eastAsia="Times New Roman" w:hAnsi="Times New Roman" w:cs="Times New Roman"/>
          <w:sz w:val="24"/>
          <w:szCs w:val="24"/>
        </w:rPr>
        <w:t>0</w:t>
      </w:r>
      <w:r w:rsidRPr="008D624C">
        <w:rPr>
          <w:rFonts w:ascii="Times New Roman" w:eastAsia="Times New Roman" w:hAnsi="Times New Roman" w:cs="Times New Roman"/>
          <w:sz w:val="24"/>
          <w:szCs w:val="24"/>
        </w:rPr>
        <w:t>5.10.2</w:t>
      </w:r>
      <w:r w:rsidR="00E20A8E">
        <w:rPr>
          <w:rFonts w:ascii="Times New Roman" w:eastAsia="Times New Roman" w:hAnsi="Times New Roman" w:cs="Times New Roman"/>
          <w:sz w:val="24"/>
          <w:szCs w:val="24"/>
        </w:rPr>
        <w:t>012 г., бр. 4 от 15.01.2016 г.);</w:t>
      </w:r>
    </w:p>
    <w:p w:rsidR="008D624C" w:rsidRPr="008D624C" w:rsidRDefault="008D624C"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Наредба за осигуряване на безопасността на ядрените централи (приета с ПМС № 245 от 21.09.2016 г., обн., ДВ, бр. 76 от 30.09.2016 г.)</w:t>
      </w:r>
      <w:r w:rsidR="00E20A8E">
        <w:rPr>
          <w:rFonts w:ascii="Times New Roman" w:eastAsia="Times New Roman" w:hAnsi="Times New Roman" w:cs="Times New Roman"/>
          <w:sz w:val="24"/>
          <w:szCs w:val="24"/>
        </w:rPr>
        <w:t>;</w:t>
      </w:r>
    </w:p>
    <w:p w:rsidR="008D624C" w:rsidRPr="008D624C" w:rsidRDefault="008D624C"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Н</w:t>
      </w:r>
      <w:r w:rsidR="00E20A8E" w:rsidRPr="008D624C">
        <w:rPr>
          <w:rFonts w:ascii="Times New Roman" w:eastAsia="Times New Roman" w:hAnsi="Times New Roman" w:cs="Times New Roman"/>
          <w:sz w:val="24"/>
          <w:szCs w:val="24"/>
        </w:rPr>
        <w:t>аредба</w:t>
      </w:r>
      <w:r w:rsidRPr="008D624C">
        <w:rPr>
          <w:rFonts w:ascii="Times New Roman" w:eastAsia="Times New Roman" w:hAnsi="Times New Roman" w:cs="Times New Roman"/>
          <w:sz w:val="24"/>
          <w:szCs w:val="24"/>
        </w:rPr>
        <w:t xml:space="preserve"> за реда за установяване, събиране, разходване и контрол на средствата и за размера на дължимите вноски във фонд </w:t>
      </w:r>
      <w:r w:rsidR="00E20A8E">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Извеждане от експлоатация на ядрени съоръжения</w:t>
      </w:r>
      <w:r w:rsidR="00E20A8E">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(Приета с ПМС № 300 от 17.12.2003 г., обн., ДВ, бр. 112 от 23.12.2003 г., в сила от </w:t>
      </w:r>
      <w:r w:rsidR="00E20A8E">
        <w:rPr>
          <w:rFonts w:ascii="Times New Roman" w:eastAsia="Times New Roman" w:hAnsi="Times New Roman" w:cs="Times New Roman"/>
          <w:sz w:val="24"/>
          <w:szCs w:val="24"/>
        </w:rPr>
        <w:t>0</w:t>
      </w:r>
      <w:r w:rsidRPr="008D624C">
        <w:rPr>
          <w:rFonts w:ascii="Times New Roman" w:eastAsia="Times New Roman" w:hAnsi="Times New Roman" w:cs="Times New Roman"/>
          <w:sz w:val="24"/>
          <w:szCs w:val="24"/>
        </w:rPr>
        <w:t>1.01.2004 г., изм., бр. 3 от 10.01.2017 г.)</w:t>
      </w:r>
      <w:r w:rsidR="00E20A8E">
        <w:rPr>
          <w:rFonts w:ascii="Times New Roman" w:eastAsia="Times New Roman" w:hAnsi="Times New Roman" w:cs="Times New Roman"/>
          <w:sz w:val="24"/>
          <w:szCs w:val="24"/>
        </w:rPr>
        <w:t>;</w:t>
      </w:r>
    </w:p>
    <w:p w:rsidR="008D624C" w:rsidRPr="008D624C" w:rsidRDefault="008D624C"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Н</w:t>
      </w:r>
      <w:r w:rsidR="00E20A8E" w:rsidRPr="008D624C">
        <w:rPr>
          <w:rFonts w:ascii="Times New Roman" w:eastAsia="Times New Roman" w:hAnsi="Times New Roman" w:cs="Times New Roman"/>
          <w:sz w:val="24"/>
          <w:szCs w:val="24"/>
        </w:rPr>
        <w:t>аредба</w:t>
      </w:r>
      <w:r w:rsidRPr="008D624C">
        <w:rPr>
          <w:rFonts w:ascii="Times New Roman" w:eastAsia="Times New Roman" w:hAnsi="Times New Roman" w:cs="Times New Roman"/>
          <w:sz w:val="24"/>
          <w:szCs w:val="24"/>
        </w:rPr>
        <w:t xml:space="preserve"> за осигуряване безопасността при управление на отработено ядрено гориво (Приета с ПМС № 196 от </w:t>
      </w:r>
      <w:r w:rsidR="00E20A8E">
        <w:rPr>
          <w:rFonts w:ascii="Times New Roman" w:eastAsia="Times New Roman" w:hAnsi="Times New Roman" w:cs="Times New Roman"/>
          <w:sz w:val="24"/>
          <w:szCs w:val="24"/>
        </w:rPr>
        <w:t>0</w:t>
      </w:r>
      <w:r w:rsidRPr="008D624C">
        <w:rPr>
          <w:rFonts w:ascii="Times New Roman" w:eastAsia="Times New Roman" w:hAnsi="Times New Roman" w:cs="Times New Roman"/>
          <w:sz w:val="24"/>
          <w:szCs w:val="24"/>
        </w:rPr>
        <w:t>2.08.2004 г., обн., ДВ, бр. 71 от 13.08.2004 г., изм. и доп., бр. 76 от 30.08.2013 г.)</w:t>
      </w:r>
      <w:r w:rsidR="00E20A8E">
        <w:rPr>
          <w:rFonts w:ascii="Times New Roman" w:eastAsia="Times New Roman" w:hAnsi="Times New Roman" w:cs="Times New Roman"/>
          <w:sz w:val="24"/>
          <w:szCs w:val="24"/>
        </w:rPr>
        <w:t>;</w:t>
      </w:r>
    </w:p>
    <w:p w:rsidR="008D624C" w:rsidRPr="008D624C" w:rsidRDefault="008D624C"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Н</w:t>
      </w:r>
      <w:r w:rsidR="00E20A8E" w:rsidRPr="008D624C">
        <w:rPr>
          <w:rFonts w:ascii="Times New Roman" w:eastAsia="Times New Roman" w:hAnsi="Times New Roman" w:cs="Times New Roman"/>
          <w:sz w:val="24"/>
          <w:szCs w:val="24"/>
        </w:rPr>
        <w:t>аредба</w:t>
      </w:r>
      <w:r w:rsidRPr="008D624C">
        <w:rPr>
          <w:rFonts w:ascii="Times New Roman" w:eastAsia="Times New Roman" w:hAnsi="Times New Roman" w:cs="Times New Roman"/>
          <w:sz w:val="24"/>
          <w:szCs w:val="24"/>
        </w:rPr>
        <w:t xml:space="preserve"> за безопасност при управление на радиоактивните отпадъци (Приета с ПМС № 185 от 23.08.2013 г., обн., ДВ, бр. 76 от 30.08.2013 г.)</w:t>
      </w:r>
      <w:r w:rsidR="00E20A8E">
        <w:rPr>
          <w:rFonts w:ascii="Times New Roman" w:eastAsia="Times New Roman" w:hAnsi="Times New Roman" w:cs="Times New Roman"/>
          <w:sz w:val="24"/>
          <w:szCs w:val="24"/>
        </w:rPr>
        <w:t>;</w:t>
      </w:r>
    </w:p>
    <w:p w:rsidR="008D624C" w:rsidRPr="008D624C" w:rsidRDefault="008D624C" w:rsidP="002A32DA">
      <w:pPr>
        <w:numPr>
          <w:ilvl w:val="0"/>
          <w:numId w:val="4"/>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lastRenderedPageBreak/>
        <w:t>Н</w:t>
      </w:r>
      <w:r w:rsidR="00E20A8E" w:rsidRPr="008D624C">
        <w:rPr>
          <w:rFonts w:ascii="Times New Roman" w:eastAsia="Times New Roman" w:hAnsi="Times New Roman" w:cs="Times New Roman"/>
          <w:sz w:val="24"/>
          <w:szCs w:val="24"/>
        </w:rPr>
        <w:t>аредба</w:t>
      </w:r>
      <w:r w:rsidRPr="008D624C">
        <w:rPr>
          <w:rFonts w:ascii="Times New Roman" w:eastAsia="Times New Roman" w:hAnsi="Times New Roman" w:cs="Times New Roman"/>
          <w:sz w:val="24"/>
          <w:szCs w:val="24"/>
        </w:rPr>
        <w:t xml:space="preserve"> за реда за установяване, събиране, разходване и контрол на средствата и за размера на дължимите вноски във фонд </w:t>
      </w:r>
      <w:r w:rsidR="00E20A8E">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Радиоактивни отпадъци</w:t>
      </w:r>
      <w:r w:rsidR="00E20A8E">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(Приета с ПМС № 301 от 17.12.2003 г., обн., ДВ, бр. 112 от 23.12.2003 г., в сила от </w:t>
      </w:r>
      <w:r w:rsidR="00E20A8E">
        <w:rPr>
          <w:rFonts w:ascii="Times New Roman" w:eastAsia="Times New Roman" w:hAnsi="Times New Roman" w:cs="Times New Roman"/>
          <w:sz w:val="24"/>
          <w:szCs w:val="24"/>
        </w:rPr>
        <w:t>0</w:t>
      </w:r>
      <w:r w:rsidRPr="008D624C">
        <w:rPr>
          <w:rFonts w:ascii="Times New Roman" w:eastAsia="Times New Roman" w:hAnsi="Times New Roman" w:cs="Times New Roman"/>
          <w:sz w:val="24"/>
          <w:szCs w:val="24"/>
        </w:rPr>
        <w:t>1.01.2004 г., изм. и доп., бр. 47 от 22.06.2012 г., бр. 3 от 10.01.2017 г.)</w:t>
      </w:r>
      <w:r w:rsidR="00E20A8E">
        <w:rPr>
          <w:rFonts w:ascii="Times New Roman" w:eastAsia="Times New Roman" w:hAnsi="Times New Roman" w:cs="Times New Roman"/>
          <w:sz w:val="24"/>
          <w:szCs w:val="24"/>
        </w:rPr>
        <w:t>.</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p>
    <w:p w:rsidR="008D624C" w:rsidRPr="008D624C" w:rsidRDefault="008D624C" w:rsidP="002A32DA">
      <w:pPr>
        <w:pStyle w:val="Heading3"/>
        <w:numPr>
          <w:ilvl w:val="2"/>
          <w:numId w:val="8"/>
        </w:numPr>
        <w:spacing w:before="120" w:after="120" w:line="240" w:lineRule="auto"/>
        <w:ind w:left="567" w:hanging="567"/>
        <w:jc w:val="both"/>
        <w:rPr>
          <w:rFonts w:ascii="Times New Roman" w:hAnsi="Times New Roman" w:cs="Times New Roman"/>
          <w:b w:val="0"/>
          <w:color w:val="auto"/>
          <w:sz w:val="24"/>
          <w:szCs w:val="24"/>
          <w:u w:val="single"/>
        </w:rPr>
      </w:pPr>
      <w:bookmarkStart w:id="25" w:name="_Toc491680783"/>
      <w:bookmarkStart w:id="26" w:name="_Toc492991245"/>
      <w:bookmarkStart w:id="27" w:name="_Toc492991305"/>
      <w:bookmarkStart w:id="28" w:name="_Toc492991328"/>
      <w:r w:rsidRPr="008D624C">
        <w:rPr>
          <w:rFonts w:ascii="Times New Roman" w:hAnsi="Times New Roman" w:cs="Times New Roman"/>
          <w:b w:val="0"/>
          <w:color w:val="auto"/>
          <w:sz w:val="24"/>
          <w:szCs w:val="24"/>
          <w:u w:val="single"/>
        </w:rPr>
        <w:t>Планиране. Решение за изграждане. Лицензионен режим</w:t>
      </w:r>
      <w:bookmarkEnd w:id="25"/>
      <w:bookmarkEnd w:id="26"/>
      <w:bookmarkEnd w:id="27"/>
      <w:bookmarkEnd w:id="28"/>
    </w:p>
    <w:p w:rsid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Процедурата, свързана с решението за изграждане на атомна централа се подчинява на поетите от Р България ангажименти в рамките на членството й в Европейския съюз и международните споразумения, съобразно процедура, която е подробно разписана в рамките на националното законодателство.</w:t>
      </w:r>
    </w:p>
    <w:p w:rsidR="00FF3964" w:rsidRPr="008D624C" w:rsidRDefault="00FF3964" w:rsidP="00E44C19">
      <w:pPr>
        <w:spacing w:before="120" w:after="120" w:line="240" w:lineRule="auto"/>
        <w:jc w:val="both"/>
        <w:rPr>
          <w:rFonts w:ascii="Times New Roman" w:eastAsia="Times New Roman" w:hAnsi="Times New Roman" w:cs="Times New Roman"/>
          <w:sz w:val="24"/>
          <w:szCs w:val="24"/>
        </w:rPr>
      </w:pPr>
    </w:p>
    <w:p w:rsidR="008D624C" w:rsidRPr="008D624C" w:rsidRDefault="008D624C" w:rsidP="00E44C19">
      <w:pPr>
        <w:spacing w:before="120" w:after="120" w:line="240" w:lineRule="auto"/>
        <w:jc w:val="both"/>
        <w:rPr>
          <w:rFonts w:ascii="Times New Roman" w:eastAsia="Times New Roman" w:hAnsi="Times New Roman" w:cs="Times New Roman"/>
          <w:b/>
          <w:i/>
          <w:sz w:val="24"/>
          <w:szCs w:val="24"/>
        </w:rPr>
      </w:pPr>
      <w:r w:rsidRPr="008D624C">
        <w:rPr>
          <w:rFonts w:ascii="Times New Roman" w:eastAsia="Times New Roman" w:hAnsi="Times New Roman" w:cs="Times New Roman"/>
          <w:b/>
          <w:i/>
          <w:sz w:val="24"/>
          <w:szCs w:val="24"/>
        </w:rPr>
        <w:t>Планиране</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Член 194 от ДФЕС съдържа целите на ЕС в областта на енергетиката</w:t>
      </w:r>
      <w:r w:rsidR="00073791">
        <w:rPr>
          <w:rFonts w:ascii="Times New Roman" w:eastAsia="Times New Roman" w:hAnsi="Times New Roman" w:cs="Times New Roman"/>
          <w:sz w:val="24"/>
          <w:szCs w:val="24"/>
        </w:rPr>
        <w:t xml:space="preserve"> –</w:t>
      </w:r>
      <w:r w:rsidRPr="008D624C">
        <w:rPr>
          <w:rFonts w:ascii="Times New Roman" w:eastAsia="Times New Roman" w:hAnsi="Times New Roman" w:cs="Times New Roman"/>
          <w:sz w:val="24"/>
          <w:szCs w:val="24"/>
        </w:rPr>
        <w:t xml:space="preserve"> осигуряване функционирането на енергийния пазар; обезпечаване сигурността на енергийните доставки; насърчаване енергийната ефективност и спестяването на енергия, както и разработването на нови и възобновяеми енергийни източници; подпомагане взаимната свързаност на енергийните мрежи. Държавите-членки запазват правото си да определят условията за използване на енергийните си ресурси, да избират между различни енергийни източници и да определят общата структура на енергийното си снабдяване. Този избор може обаче да бъде засегнат от мерките, приети от Съюза в рамките на неговата политика за околната среда.</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Договорът за създаване на европейска общност по атомна енергия (Договор Е</w:t>
      </w:r>
      <w:r w:rsidR="00073791" w:rsidRPr="008D624C">
        <w:rPr>
          <w:rFonts w:ascii="Times New Roman" w:eastAsia="Times New Roman" w:hAnsi="Times New Roman" w:cs="Times New Roman"/>
          <w:sz w:val="24"/>
          <w:szCs w:val="24"/>
        </w:rPr>
        <w:t>вратом</w:t>
      </w:r>
      <w:r w:rsidRPr="008D624C">
        <w:rPr>
          <w:rFonts w:ascii="Times New Roman" w:eastAsia="Times New Roman" w:hAnsi="Times New Roman" w:cs="Times New Roman"/>
          <w:sz w:val="24"/>
          <w:szCs w:val="24"/>
        </w:rPr>
        <w:t>) от своя страна съдържа разпоредби, свързани със стимулиране на инвестициите в развитието на ядрената енергетика. В практиката на Европейската комисия, тази цел е приета като цел от общ интерес. Член 2 от Договора Е</w:t>
      </w:r>
      <w:r w:rsidR="00073791" w:rsidRPr="008D624C">
        <w:rPr>
          <w:rFonts w:ascii="Times New Roman" w:eastAsia="Times New Roman" w:hAnsi="Times New Roman" w:cs="Times New Roman"/>
          <w:sz w:val="24"/>
          <w:szCs w:val="24"/>
        </w:rPr>
        <w:t>вратом</w:t>
      </w:r>
      <w:r w:rsidRPr="008D624C">
        <w:rPr>
          <w:rFonts w:ascii="Times New Roman" w:eastAsia="Times New Roman" w:hAnsi="Times New Roman" w:cs="Times New Roman"/>
          <w:sz w:val="24"/>
          <w:szCs w:val="24"/>
        </w:rPr>
        <w:t xml:space="preserve"> предвижда, че ЕС улеснява инвестициите и осигурява, по-специално като насърчава начинанията на предприятията, създаването на основни съоръжения, необходими за развитието на ядрената енергетика. Освен това чл. 40 от договора предвижда с цел да се стимулира инициативата на лицата и предприятията и да се улесни координираното развитие на техните инвестиции в ядрената област Комисията периодично да публикува примерни програми, посочващи в частност целите пред производството на ядрена енергия и всички видове инвестиции, необходими за тяхното постигане.</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На национално ниво Законът за енергетиката (ЗЕ) е осно</w:t>
      </w:r>
      <w:r w:rsidR="00073791">
        <w:rPr>
          <w:rFonts w:ascii="Times New Roman" w:eastAsia="Times New Roman" w:hAnsi="Times New Roman" w:cs="Times New Roman"/>
          <w:sz w:val="24"/>
          <w:szCs w:val="24"/>
        </w:rPr>
        <w:t>вния</w:t>
      </w:r>
      <w:r w:rsidRPr="008D624C">
        <w:rPr>
          <w:rFonts w:ascii="Times New Roman" w:eastAsia="Times New Roman" w:hAnsi="Times New Roman" w:cs="Times New Roman"/>
          <w:sz w:val="24"/>
          <w:szCs w:val="24"/>
        </w:rPr>
        <w:t xml:space="preserve"> документ, който урежда организацията на енергийния сектор, както и планирането и процедурата за изграждане на нови мощности. Съгласно чл</w:t>
      </w:r>
      <w:r w:rsidR="00073791">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3 от ЗЕ</w:t>
      </w:r>
      <w:r w:rsidR="00073791">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Народното събрание, по предложение на Министерския съвет, приема Енергийна стратегия на Република България, с която се определят основните цели, етапи, средства и методи за развитие на енергетиката. Министерският съвет ръководи енергетиката на страната в съответствие с приетата от Народното събрание Енергийна стратегия, която </w:t>
      </w:r>
      <w:r w:rsidR="00073791">
        <w:rPr>
          <w:rFonts w:ascii="Times New Roman" w:eastAsia="Times New Roman" w:hAnsi="Times New Roman" w:cs="Times New Roman"/>
          <w:sz w:val="24"/>
          <w:szCs w:val="24"/>
        </w:rPr>
        <w:t>тряб</w:t>
      </w:r>
      <w:r w:rsidRPr="008D624C">
        <w:rPr>
          <w:rFonts w:ascii="Times New Roman" w:eastAsia="Times New Roman" w:hAnsi="Times New Roman" w:cs="Times New Roman"/>
          <w:sz w:val="24"/>
          <w:szCs w:val="24"/>
        </w:rPr>
        <w:t>ва да съдържа и принципната позиция относно развитието на ядрени проекти и изграждането на нови мощности.</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Министърът на енергетиката определя необходимите нови мощности за производство на електрическа енергия, като обнародва описа на необходимите нови мощности в </w:t>
      </w:r>
      <w:r w:rsidR="00073791">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Държавен вестник</w:t>
      </w:r>
      <w:r w:rsidR="00073791">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(Чл</w:t>
      </w:r>
      <w:r w:rsidR="00073791">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4, ал. 2, т. 5 от Закона за енергетиката). Министърът определя необходимостта от нови мощности в интерес на сигурността на снабдяването с електрическа енергия, за изпълнение на задълженията за дял на енергията от възобновяеми източници в брутното крайно потребление на енергия, както и в интерес </w:t>
      </w:r>
      <w:r w:rsidRPr="008D624C">
        <w:rPr>
          <w:rFonts w:ascii="Times New Roman" w:eastAsia="Times New Roman" w:hAnsi="Times New Roman" w:cs="Times New Roman"/>
          <w:sz w:val="24"/>
          <w:szCs w:val="24"/>
        </w:rPr>
        <w:lastRenderedPageBreak/>
        <w:t>на опазването на околната среда и насърчаването на нови технологии, когато посредством пазарните механизми за инвестиции тези цели не могат да бъдат осигурени, въз основа на:</w:t>
      </w:r>
    </w:p>
    <w:p w:rsidR="008D624C" w:rsidRPr="008D624C" w:rsidRDefault="008D624C" w:rsidP="002A32DA">
      <w:pPr>
        <w:pStyle w:val="ListParagraph"/>
        <w:numPr>
          <w:ilvl w:val="0"/>
          <w:numId w:val="9"/>
        </w:numPr>
        <w:spacing w:before="120" w:after="120" w:line="240" w:lineRule="auto"/>
        <w:ind w:left="284" w:hanging="284"/>
        <w:contextualSpacing w:val="0"/>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общите прогнозни енергийни баланси;</w:t>
      </w:r>
    </w:p>
    <w:p w:rsidR="008D624C" w:rsidRPr="008D624C" w:rsidRDefault="008D624C" w:rsidP="002A32DA">
      <w:pPr>
        <w:pStyle w:val="ListParagraph"/>
        <w:numPr>
          <w:ilvl w:val="0"/>
          <w:numId w:val="9"/>
        </w:numPr>
        <w:spacing w:before="120" w:after="120" w:line="240" w:lineRule="auto"/>
        <w:ind w:left="284" w:hanging="284"/>
        <w:contextualSpacing w:val="0"/>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задължителните показатели за степента на надеждност на снабдяването с електрическа енергия;</w:t>
      </w:r>
    </w:p>
    <w:p w:rsidR="008D624C" w:rsidRPr="008D624C" w:rsidRDefault="008D624C" w:rsidP="002A32DA">
      <w:pPr>
        <w:pStyle w:val="ListParagraph"/>
        <w:numPr>
          <w:ilvl w:val="0"/>
          <w:numId w:val="9"/>
        </w:numPr>
        <w:spacing w:before="120" w:after="120" w:line="240" w:lineRule="auto"/>
        <w:ind w:left="284" w:hanging="284"/>
        <w:contextualSpacing w:val="0"/>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десетгодишния план за развитие на електропреносната мрежа;</w:t>
      </w:r>
    </w:p>
    <w:p w:rsidR="008D624C" w:rsidRPr="008D624C" w:rsidRDefault="008D624C" w:rsidP="002A32DA">
      <w:pPr>
        <w:pStyle w:val="ListParagraph"/>
        <w:numPr>
          <w:ilvl w:val="0"/>
          <w:numId w:val="9"/>
        </w:numPr>
        <w:spacing w:before="120" w:after="120" w:line="240" w:lineRule="auto"/>
        <w:ind w:left="284" w:hanging="284"/>
        <w:contextualSpacing w:val="0"/>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докладите по чл. 13 от Закона за енергията от възобновяеми източници за изпълнение на Националния план за действие за енергията от възобновяеми източници.</w:t>
      </w:r>
    </w:p>
    <w:p w:rsid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Правото на ЕС оставя свобода на избор на енергийния микс на своите държави-членки, като развитието на атомната енергия има особен статут, а именно цел от общ интерес. Ра</w:t>
      </w:r>
      <w:r w:rsidR="00A06B6A">
        <w:rPr>
          <w:rFonts w:ascii="Times New Roman" w:eastAsia="Times New Roman" w:hAnsi="Times New Roman" w:cs="Times New Roman"/>
          <w:sz w:val="24"/>
          <w:szCs w:val="24"/>
        </w:rPr>
        <w:t>збира се, тази свобода на избор</w:t>
      </w:r>
      <w:r w:rsidRPr="008D624C">
        <w:rPr>
          <w:rFonts w:ascii="Times New Roman" w:eastAsia="Times New Roman" w:hAnsi="Times New Roman" w:cs="Times New Roman"/>
          <w:sz w:val="24"/>
          <w:szCs w:val="24"/>
        </w:rPr>
        <w:t xml:space="preserve"> търпи и своите ограничения, доколкото политиката за борба срещу изменението на климата въвежда съответните ограничения и задължения за дял от енергийния микс на опреде</w:t>
      </w:r>
      <w:r w:rsidR="00A06B6A">
        <w:rPr>
          <w:rFonts w:ascii="Times New Roman" w:eastAsia="Times New Roman" w:hAnsi="Times New Roman" w:cs="Times New Roman"/>
          <w:sz w:val="24"/>
          <w:szCs w:val="24"/>
        </w:rPr>
        <w:t>ление видове производства (например</w:t>
      </w:r>
      <w:r w:rsidRPr="008D624C">
        <w:rPr>
          <w:rFonts w:ascii="Times New Roman" w:eastAsia="Times New Roman" w:hAnsi="Times New Roman" w:cs="Times New Roman"/>
          <w:sz w:val="24"/>
          <w:szCs w:val="24"/>
        </w:rPr>
        <w:t xml:space="preserve"> енергия от възобновяеми източници, които не могат да бъдат алтернатива на базовите мощности). Тези ограничения и задължения намират отражение върху плановете за изграждане на ядрени мощности.</w:t>
      </w:r>
    </w:p>
    <w:p w:rsidR="00FF3964" w:rsidRPr="008D624C" w:rsidRDefault="00FF3964" w:rsidP="00E44C19">
      <w:pPr>
        <w:spacing w:before="120" w:after="120" w:line="240" w:lineRule="auto"/>
        <w:jc w:val="both"/>
        <w:rPr>
          <w:rFonts w:ascii="Times New Roman" w:eastAsia="Times New Roman" w:hAnsi="Times New Roman" w:cs="Times New Roman"/>
          <w:sz w:val="24"/>
          <w:szCs w:val="24"/>
        </w:rPr>
      </w:pPr>
    </w:p>
    <w:p w:rsidR="008D624C" w:rsidRPr="008D624C" w:rsidRDefault="008D624C" w:rsidP="00E44C19">
      <w:pPr>
        <w:keepNext/>
        <w:spacing w:before="120" w:after="120" w:line="240" w:lineRule="auto"/>
        <w:jc w:val="both"/>
        <w:rPr>
          <w:rFonts w:ascii="Times New Roman" w:eastAsia="Times New Roman" w:hAnsi="Times New Roman" w:cs="Times New Roman"/>
          <w:b/>
          <w:i/>
          <w:sz w:val="24"/>
          <w:szCs w:val="24"/>
        </w:rPr>
      </w:pPr>
      <w:r w:rsidRPr="008D624C">
        <w:rPr>
          <w:rFonts w:ascii="Times New Roman" w:eastAsia="Times New Roman" w:hAnsi="Times New Roman" w:cs="Times New Roman"/>
          <w:b/>
          <w:i/>
          <w:sz w:val="24"/>
          <w:szCs w:val="24"/>
        </w:rPr>
        <w:t>Решение за изграждане</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Директива 2009/72/ЕО на Европейския парламент и на Съвета от 13</w:t>
      </w:r>
      <w:r w:rsidR="00A06B6A">
        <w:rPr>
          <w:rFonts w:ascii="Times New Roman" w:eastAsia="Times New Roman" w:hAnsi="Times New Roman" w:cs="Times New Roman"/>
          <w:sz w:val="24"/>
          <w:szCs w:val="24"/>
        </w:rPr>
        <w:t>.07.</w:t>
      </w:r>
      <w:r w:rsidRPr="008D624C">
        <w:rPr>
          <w:rFonts w:ascii="Times New Roman" w:eastAsia="Times New Roman" w:hAnsi="Times New Roman" w:cs="Times New Roman"/>
          <w:sz w:val="24"/>
          <w:szCs w:val="24"/>
        </w:rPr>
        <w:t xml:space="preserve">2009 г. относно общите правила за вътрешния пазар на електроенергия и за отмяна на Директива 2003/54/ЕО (наричана по-долу „Директивата за електроенергията“) въвежда общи правила за производството, преноса, разпределението и доставката на електрическа енергия. Член 7 от Директивата за електроенергията установява разрешителна процедура за нови мощности (в т.ч. ядрени). Текстът предвижда задължение за държавите-членки да приемат разрешителна процедура за изграждане на нови производствени мощности, която се провежда в съответствие с обективни, прозрачни и недискриминационни критерии. </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Член 8 от Директивата предвижда възможност и за обявяване на търгове за нови мощности, но по изключение, в случай че не бъде изградена достатъчна електропроизводствена мощност въз основа на разрешителна процедура. Тези п</w:t>
      </w:r>
      <w:r w:rsidR="00A06B6A">
        <w:rPr>
          <w:rFonts w:ascii="Times New Roman" w:eastAsia="Times New Roman" w:hAnsi="Times New Roman" w:cs="Times New Roman"/>
          <w:sz w:val="24"/>
          <w:szCs w:val="24"/>
        </w:rPr>
        <w:t>роцедури може да се предприемат</w:t>
      </w:r>
      <w:r w:rsidRPr="008D624C">
        <w:rPr>
          <w:rFonts w:ascii="Times New Roman" w:eastAsia="Times New Roman" w:hAnsi="Times New Roman" w:cs="Times New Roman"/>
          <w:sz w:val="24"/>
          <w:szCs w:val="24"/>
        </w:rPr>
        <w:t xml:space="preserve"> само когато въз основа на разрешителната процедура производствената мощност, която се изгражда, или мерките за енергийна ефективност/управление на търсенето, които се вземат, не са достатъчни за гарантиране н</w:t>
      </w:r>
      <w:r w:rsidR="00A06B6A">
        <w:rPr>
          <w:rFonts w:ascii="Times New Roman" w:eastAsia="Times New Roman" w:hAnsi="Times New Roman" w:cs="Times New Roman"/>
          <w:sz w:val="24"/>
          <w:szCs w:val="24"/>
        </w:rPr>
        <w:t>а сигурността на доставките.</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Националното законодателство следва логиката и отразява принципите на Директивата за електроенергията. Съгласно Закона за енергетиката, принципният ред за осъществяване на дейностите по производство и търговия с електрическа енергия е разрешителен, като за осъществяването им е необходимо издаването на лицензия от секторния регулатор Комисия за енергийно и водно регулиране (КЕВР).</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Законът за енергетиката е предви</w:t>
      </w:r>
      <w:r w:rsidR="00A06B6A">
        <w:rPr>
          <w:rFonts w:ascii="Times New Roman" w:eastAsia="Times New Roman" w:hAnsi="Times New Roman" w:cs="Times New Roman"/>
          <w:sz w:val="24"/>
          <w:szCs w:val="24"/>
        </w:rPr>
        <w:t>дил и механизъм, съгласно който</w:t>
      </w:r>
      <w:r w:rsidRPr="008D624C">
        <w:rPr>
          <w:rFonts w:ascii="Times New Roman" w:eastAsia="Times New Roman" w:hAnsi="Times New Roman" w:cs="Times New Roman"/>
          <w:sz w:val="24"/>
          <w:szCs w:val="24"/>
        </w:rPr>
        <w:t xml:space="preserve"> изграждането на определена мощност може да се въз</w:t>
      </w:r>
      <w:r w:rsidR="00A06B6A">
        <w:rPr>
          <w:rFonts w:ascii="Times New Roman" w:eastAsia="Times New Roman" w:hAnsi="Times New Roman" w:cs="Times New Roman"/>
          <w:sz w:val="24"/>
          <w:szCs w:val="24"/>
        </w:rPr>
        <w:t>ложи на инвеститор от държавата</w:t>
      </w:r>
      <w:r w:rsidRPr="008D624C">
        <w:rPr>
          <w:rFonts w:ascii="Times New Roman" w:eastAsia="Times New Roman" w:hAnsi="Times New Roman" w:cs="Times New Roman"/>
          <w:sz w:val="24"/>
          <w:szCs w:val="24"/>
        </w:rPr>
        <w:t xml:space="preserve"> само по изключение. Член 46 от Закона за енергетиката въвежда чл. 8 от Директива 2009/72. Разпоредбата сочи, че конкурс за необходима мощност за производство на </w:t>
      </w:r>
      <w:r w:rsidRPr="008D624C">
        <w:rPr>
          <w:rFonts w:ascii="Times New Roman" w:eastAsia="Times New Roman" w:hAnsi="Times New Roman" w:cs="Times New Roman"/>
          <w:sz w:val="24"/>
          <w:szCs w:val="24"/>
        </w:rPr>
        <w:lastRenderedPageBreak/>
        <w:t xml:space="preserve">електрическа енергия се провежда само в случаите по чл. 4, ал. 2, т. 5 за изграждане на нова или за предоставяне на съществуваща мощност, а именно невъзможност за осигуряване на необходимите инвестиции посредством пазарните механизми. Спечелилият конкурса участник се определя за титуляр на лицензията, съдържаща задължение за изграждане, в случаите на изграждане на нова мощност. Същият член предвижда задължение за сключване на договор за изкупуване на произведената от тази мощност електрическа енергия с обществения доставчик. Конкурсът за изграждане на нова мощност се провежда от Комисията за енергийно и водно регулиране, съгласно реда, определен в Наредба № 3 от 21.03.2013 г. за лицензиране на дейностите в енергетиката, издадена от председателя на Държавната комисия за енергийно и водно регулиране, обн., ДВ, бр. 33 от </w:t>
      </w:r>
      <w:r w:rsidR="00A06B6A">
        <w:rPr>
          <w:rFonts w:ascii="Times New Roman" w:eastAsia="Times New Roman" w:hAnsi="Times New Roman" w:cs="Times New Roman"/>
          <w:sz w:val="24"/>
          <w:szCs w:val="24"/>
        </w:rPr>
        <w:t>0</w:t>
      </w:r>
      <w:r w:rsidRPr="008D624C">
        <w:rPr>
          <w:rFonts w:ascii="Times New Roman" w:eastAsia="Times New Roman" w:hAnsi="Times New Roman" w:cs="Times New Roman"/>
          <w:sz w:val="24"/>
          <w:szCs w:val="24"/>
        </w:rPr>
        <w:t>5.04.2013 г.</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С оглед на изложеното </w:t>
      </w:r>
      <w:r w:rsidR="00A06B6A">
        <w:rPr>
          <w:rFonts w:ascii="Times New Roman" w:eastAsia="Times New Roman" w:hAnsi="Times New Roman" w:cs="Times New Roman"/>
          <w:sz w:val="24"/>
          <w:szCs w:val="24"/>
        </w:rPr>
        <w:t>дотук</w:t>
      </w:r>
      <w:r w:rsidRPr="008D624C">
        <w:rPr>
          <w:rFonts w:ascii="Times New Roman" w:eastAsia="Times New Roman" w:hAnsi="Times New Roman" w:cs="Times New Roman"/>
          <w:sz w:val="24"/>
          <w:szCs w:val="24"/>
        </w:rPr>
        <w:t xml:space="preserve">, както европейското, така и националното законодателство предвижда провеждането на конкурси за изграждане на нови мощности единствено на база невъзможност за осигуряване на сигурността на снабдяването, целите за достигане на определения дял енергия от възобновяеми енергийни източници и др., посочени в съответната уредба. </w:t>
      </w:r>
    </w:p>
    <w:p w:rsidR="008D624C" w:rsidRPr="008D624C" w:rsidRDefault="00A06B6A" w:rsidP="00E44C19">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Изграждането на ядрена мощност</w:t>
      </w:r>
      <w:r w:rsidR="008D624C" w:rsidRPr="008D624C">
        <w:rPr>
          <w:rFonts w:ascii="Times New Roman" w:eastAsia="Times New Roman" w:hAnsi="Times New Roman" w:cs="Times New Roman"/>
          <w:sz w:val="24"/>
          <w:szCs w:val="24"/>
        </w:rPr>
        <w:t xml:space="preserve"> следва специфична процедура, която е залегнала в Закона за безопасното използване на ядрената енергия (ЗБИЯЕ). Тя започва с вземането на решение за изграждане от страна на Министерския съвет по предложение на министъра на енергетиката (Чл</w:t>
      </w:r>
      <w:r>
        <w:rPr>
          <w:rFonts w:ascii="Times New Roman" w:eastAsia="Times New Roman" w:hAnsi="Times New Roman" w:cs="Times New Roman"/>
          <w:sz w:val="24"/>
          <w:szCs w:val="24"/>
        </w:rPr>
        <w:t>.</w:t>
      </w:r>
      <w:r w:rsidR="008D624C" w:rsidRPr="008D624C">
        <w:rPr>
          <w:rFonts w:ascii="Times New Roman" w:eastAsia="Times New Roman" w:hAnsi="Times New Roman" w:cs="Times New Roman"/>
          <w:sz w:val="24"/>
          <w:szCs w:val="24"/>
        </w:rPr>
        <w:t xml:space="preserve"> 45 от ЗБИЯЕ). Предложението е придружено от оценка на:</w:t>
      </w:r>
    </w:p>
    <w:p w:rsidR="008D624C" w:rsidRPr="008D624C" w:rsidRDefault="008D624C" w:rsidP="002A32DA">
      <w:pPr>
        <w:pStyle w:val="ListParagraph"/>
        <w:numPr>
          <w:ilvl w:val="0"/>
          <w:numId w:val="10"/>
        </w:numPr>
        <w:spacing w:before="120" w:after="120" w:line="240" w:lineRule="auto"/>
        <w:ind w:left="284" w:hanging="284"/>
        <w:contextualSpacing w:val="0"/>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ядрената безопасност и радиационната защита, въздействието върху околната среда и физическата защита;</w:t>
      </w:r>
    </w:p>
    <w:p w:rsidR="008D624C" w:rsidRPr="008D624C" w:rsidRDefault="008D624C" w:rsidP="002A32DA">
      <w:pPr>
        <w:pStyle w:val="ListParagraph"/>
        <w:numPr>
          <w:ilvl w:val="0"/>
          <w:numId w:val="10"/>
        </w:numPr>
        <w:spacing w:before="120" w:after="120" w:line="240" w:lineRule="auto"/>
        <w:ind w:left="284" w:hanging="284"/>
        <w:contextualSpacing w:val="0"/>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социално-икономическото значение от изграждането на ядрена централа за страната или за отделни региони;</w:t>
      </w:r>
    </w:p>
    <w:p w:rsidR="008D624C" w:rsidRPr="008D624C" w:rsidRDefault="008D624C" w:rsidP="002A32DA">
      <w:pPr>
        <w:pStyle w:val="ListParagraph"/>
        <w:numPr>
          <w:ilvl w:val="0"/>
          <w:numId w:val="10"/>
        </w:numPr>
        <w:spacing w:before="120" w:after="120" w:line="240" w:lineRule="auto"/>
        <w:ind w:left="284" w:hanging="284"/>
        <w:contextualSpacing w:val="0"/>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радиоактивните отпадъци и отработеното ядрено гориво, които се получават в резултат </w:t>
      </w:r>
      <w:r w:rsidR="00A06B6A">
        <w:rPr>
          <w:rFonts w:ascii="Times New Roman" w:eastAsia="Times New Roman" w:hAnsi="Times New Roman" w:cs="Times New Roman"/>
          <w:sz w:val="24"/>
          <w:szCs w:val="24"/>
        </w:rPr>
        <w:t>от</w:t>
      </w:r>
      <w:r w:rsidRPr="008D624C">
        <w:rPr>
          <w:rFonts w:ascii="Times New Roman" w:eastAsia="Times New Roman" w:hAnsi="Times New Roman" w:cs="Times New Roman"/>
          <w:sz w:val="24"/>
          <w:szCs w:val="24"/>
        </w:rPr>
        <w:t xml:space="preserve"> дейността на ядрена це</w:t>
      </w:r>
      <w:r w:rsidR="00A06B6A">
        <w:rPr>
          <w:rFonts w:ascii="Times New Roman" w:eastAsia="Times New Roman" w:hAnsi="Times New Roman" w:cs="Times New Roman"/>
          <w:sz w:val="24"/>
          <w:szCs w:val="24"/>
        </w:rPr>
        <w:t>нтрала, и тяхното управление;</w:t>
      </w:r>
    </w:p>
    <w:p w:rsidR="008D624C" w:rsidRPr="008D624C" w:rsidRDefault="008D624C" w:rsidP="002A32DA">
      <w:pPr>
        <w:pStyle w:val="ListParagraph"/>
        <w:numPr>
          <w:ilvl w:val="0"/>
          <w:numId w:val="10"/>
        </w:numPr>
        <w:spacing w:before="120" w:after="120" w:line="240" w:lineRule="auto"/>
        <w:ind w:left="284" w:hanging="284"/>
        <w:contextualSpacing w:val="0"/>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резултатите от обсъждането на предложението за изграждане на ядрена централа, в което участват държавни органи и органи на местното самоуправление, представители на обществените организации и заинтересувани физически и юридически лица (което Министърът е длъжен да проведе).</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Доколкото предмет на настоящия анализ е конкретен проект, а именно Проектът за изграждането на ядрена централа АЕЦ „Белене“ (който не е нов), </w:t>
      </w:r>
      <w:r w:rsidR="00A06B6A">
        <w:rPr>
          <w:rFonts w:ascii="Times New Roman" w:eastAsia="Times New Roman" w:hAnsi="Times New Roman" w:cs="Times New Roman"/>
          <w:sz w:val="24"/>
          <w:szCs w:val="24"/>
        </w:rPr>
        <w:t>тряб</w:t>
      </w:r>
      <w:r w:rsidRPr="008D624C">
        <w:rPr>
          <w:rFonts w:ascii="Times New Roman" w:eastAsia="Times New Roman" w:hAnsi="Times New Roman" w:cs="Times New Roman"/>
          <w:sz w:val="24"/>
          <w:szCs w:val="24"/>
        </w:rPr>
        <w:t xml:space="preserve">ва да бъдат коментирани конкретни аспекти, свързани с този проект. </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За проекта неколкократно са издавани Решения на Министерския съвет. Предмет на анализ ще бъдат решенията, касаещи проекта, с които е даден неговия старт.</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С решение по т. 57 от протокол № 17 </w:t>
      </w:r>
      <w:r w:rsidR="00A06B6A">
        <w:rPr>
          <w:rFonts w:ascii="Times New Roman" w:eastAsia="Times New Roman" w:hAnsi="Times New Roman" w:cs="Times New Roman"/>
          <w:sz w:val="24"/>
          <w:szCs w:val="24"/>
        </w:rPr>
        <w:t>от заседанието на МС от 2004 г.,</w:t>
      </w:r>
      <w:r w:rsidRPr="008D624C">
        <w:rPr>
          <w:rFonts w:ascii="Times New Roman" w:eastAsia="Times New Roman" w:hAnsi="Times New Roman" w:cs="Times New Roman"/>
          <w:sz w:val="24"/>
          <w:szCs w:val="24"/>
        </w:rPr>
        <w:t xml:space="preserve"> се одобрява доклад от министъра на енергетиката и енергийните ресурси, който обобщава предприетите действия от Министерство на енергетиката и енергийните ресурси и Националната електрическа компания в изпълнение на Решението № 853 от 20.12.2002 г. на Министерски съвет (с което е отменено решение № 288 на МС от 1991 г.); се възлага на министъра на енергетиката и енергийните ресурси да предприеме необходимите действия по Закона за безопасно използване на ядрената енергия, Закона за енергетиката и свързаните с тях подзаконови нормативни актове, необходими във връзка с реализирането на проекта и в едномесечен срок да представи на Министерския съвет процедура и критерии за провеждането на преговорите и подготовката на </w:t>
      </w:r>
      <w:r w:rsidRPr="008D624C">
        <w:rPr>
          <w:rFonts w:ascii="Times New Roman" w:eastAsia="Times New Roman" w:hAnsi="Times New Roman" w:cs="Times New Roman"/>
          <w:sz w:val="24"/>
          <w:szCs w:val="24"/>
        </w:rPr>
        <w:lastRenderedPageBreak/>
        <w:t>договорите за финансиране и изграждане на “АЕЦ Белене”. Заместник министър-председателят и министър на икономиката, министърът на енергетиката и енергийните ресурси и министърът на финансите са натоварени със задачата да проведат преговори със заявилите инвестиционен интерес и с финансови институции за подписване на договори за изпълнение на проекта.</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С решение на МС № 259 от 2005 г. от 08.04.2005 г. обектът „Ядрена централа на площадка </w:t>
      </w:r>
      <w:r w:rsidR="00A06B6A">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Белене</w:t>
      </w:r>
      <w:r w:rsidR="00A06B6A">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е определен за обект с национално значение. С решение на МС № 260 от същата дата е одобрено предложението на министъра на енергетиката и енергийните ресурси за изграждане на ядрена централа на площадка </w:t>
      </w:r>
      <w:r w:rsidR="00A06B6A">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Белене</w:t>
      </w:r>
      <w:r w:rsidR="00A06B6A">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и се дава съгласие за изграждане на ядрена централа на площадка </w:t>
      </w:r>
      <w:r w:rsidR="00A06B6A">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Белене</w:t>
      </w:r>
      <w:r w:rsidR="00A06B6A">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с максимална инсталирана електрическа мощност 2000 МWе на базата на еволюционен проект с използване на апробирани технически решения с реактор с вода под налягане. Възложено е също на министъра на енергетиката и енергийните ресурси да подготви и представи за одобряване от Министерския съвет доклад относно правно-организационната форма за обособяване на дружество за развитие на проекта АЕЦ </w:t>
      </w:r>
      <w:r w:rsidR="00A06B6A">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Белене</w:t>
      </w:r>
      <w:r w:rsidR="00A06B6A">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С тези три решения Министерският съвет стартира проекта. Но на 29.03.2012 г. Министерският съвет на РБългария приема решение, с което се отменят всички предишни решения, свързани с изграждането на ядрена централа АЕЦ </w:t>
      </w:r>
      <w:r w:rsidR="00A06B6A">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Белене”. Същото решение с подкрепено и с Решение от 29.03.2012 г. на 41-то Народно събрание, с което НС „подкрепя действията“ на МС за прекратяване </w:t>
      </w:r>
      <w:r w:rsidR="00A06B6A">
        <w:rPr>
          <w:rFonts w:ascii="Times New Roman" w:eastAsia="Times New Roman" w:hAnsi="Times New Roman" w:cs="Times New Roman"/>
          <w:sz w:val="24"/>
          <w:szCs w:val="24"/>
        </w:rPr>
        <w:t xml:space="preserve">на </w:t>
      </w:r>
      <w:r w:rsidRPr="008D624C">
        <w:rPr>
          <w:rFonts w:ascii="Times New Roman" w:eastAsia="Times New Roman" w:hAnsi="Times New Roman" w:cs="Times New Roman"/>
          <w:sz w:val="24"/>
          <w:szCs w:val="24"/>
        </w:rPr>
        <w:t xml:space="preserve">изграждането на Ядрена централа на площадка „Белене“. </w:t>
      </w:r>
      <w:r w:rsidR="00A06B6A">
        <w:rPr>
          <w:rFonts w:ascii="Times New Roman" w:eastAsia="Times New Roman" w:hAnsi="Times New Roman" w:cs="Times New Roman"/>
          <w:sz w:val="24"/>
          <w:szCs w:val="24"/>
        </w:rPr>
        <w:t>Тряб</w:t>
      </w:r>
      <w:r w:rsidRPr="008D624C">
        <w:rPr>
          <w:rFonts w:ascii="Times New Roman" w:eastAsia="Times New Roman" w:hAnsi="Times New Roman" w:cs="Times New Roman"/>
          <w:sz w:val="24"/>
          <w:szCs w:val="24"/>
        </w:rPr>
        <w:t>ва да се отбележи, че такова решение не оказва влияние върху статуса на проекта, доколкото на НС не са предоставени такива компетенции от нормативната уредба.</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На 11.04.2012 г. Министерският съвет приема решение, с което е дадено принципно съгласие за изграждане на нова ядрена мощност в региона на АЕЦ </w:t>
      </w:r>
      <w:r w:rsidR="00A06B6A">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Козлодуй”. Приемането на посочените решения на практика означава, че изпълнителната власт се е отказала от поемането на последващи ангажименти за изграждане на АЕЦ </w:t>
      </w:r>
      <w:r w:rsidR="00A06B6A">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Белене”, което при всички случаи засяга по-нататъшното развитие на лицензионната процедура за изграждане на АЕЦ </w:t>
      </w:r>
      <w:r w:rsidR="00A06B6A">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Белене”.</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Изграждането на атомна централа чрез продължаване на проекта не би било възможно без нова санкция на Министерския съвет, доколкото към момента решенията</w:t>
      </w:r>
      <w:r w:rsidR="00A06B6A">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оторизиращи изграждане на АЕЦ „Белене“</w:t>
      </w:r>
      <w:r w:rsidR="00A06B6A">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са отменени и проектът е прекратен. Следователно е необходимо Министерският съвет да приеме решение по реда на чл. 45 от ЗБИЯЕ, на база доклад на министъра на енергетиката, придружен от съответните изискуеми документи и предшестван от обществено обсъждане. Необходимостта от вземане на ново решение е потвърдена и в становище на АЯР, в отговор на запитване на Министерството на енергетика във връзка с настоящия проект.</w:t>
      </w:r>
    </w:p>
    <w:p w:rsidR="008D624C" w:rsidRDefault="008D624C" w:rsidP="00E44C19">
      <w:pPr>
        <w:spacing w:before="120" w:after="120" w:line="240" w:lineRule="auto"/>
        <w:jc w:val="both"/>
        <w:rPr>
          <w:rFonts w:ascii="Times New Roman" w:eastAsia="Times New Roman" w:hAnsi="Times New Roman" w:cs="Times New Roman"/>
          <w:b/>
          <w:sz w:val="24"/>
          <w:szCs w:val="24"/>
          <w:lang w:val="en-US"/>
        </w:rPr>
      </w:pPr>
    </w:p>
    <w:p w:rsidR="008D624C" w:rsidRPr="008D624C" w:rsidRDefault="008D624C" w:rsidP="00E44C19">
      <w:pPr>
        <w:spacing w:before="120" w:after="120" w:line="240" w:lineRule="auto"/>
        <w:jc w:val="both"/>
        <w:rPr>
          <w:rFonts w:ascii="Times New Roman" w:eastAsia="Times New Roman" w:hAnsi="Times New Roman" w:cs="Times New Roman"/>
          <w:b/>
          <w:i/>
          <w:sz w:val="24"/>
          <w:szCs w:val="24"/>
        </w:rPr>
      </w:pPr>
      <w:r w:rsidRPr="008D624C">
        <w:rPr>
          <w:rFonts w:ascii="Times New Roman" w:eastAsia="Times New Roman" w:hAnsi="Times New Roman" w:cs="Times New Roman"/>
          <w:b/>
          <w:i/>
          <w:sz w:val="24"/>
          <w:szCs w:val="24"/>
        </w:rPr>
        <w:t>Издаване на лицензии и разрешителни</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Общият режим за издаване на лицензия за производство на електрическа енергия е уреден в Закона за енергетиката. Ядрена мощност може да започне реално да функционира, само ако е издадена по реда на Закона за енергетиката и </w:t>
      </w:r>
      <w:r w:rsidR="00581728">
        <w:rPr>
          <w:rFonts w:ascii="Times New Roman" w:eastAsia="Times New Roman" w:hAnsi="Times New Roman" w:cs="Times New Roman"/>
          <w:sz w:val="24"/>
          <w:szCs w:val="24"/>
        </w:rPr>
        <w:t xml:space="preserve">е </w:t>
      </w:r>
      <w:r w:rsidRPr="008D624C">
        <w:rPr>
          <w:rFonts w:ascii="Times New Roman" w:eastAsia="Times New Roman" w:hAnsi="Times New Roman" w:cs="Times New Roman"/>
          <w:sz w:val="24"/>
          <w:szCs w:val="24"/>
        </w:rPr>
        <w:t>влязла в сила лицензия за производство на електрическа и/или топлинна енергия чрез използване на същото съоръжение. Прекратяването на тази лицензия автоматично прекратява действието на лицензията за експлоатация на ядрената централа.</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lastRenderedPageBreak/>
        <w:t xml:space="preserve">Лицензия се издава по заявление на лица, които са регистрирани по Търговския закон, притежават технически и финансови възможности, материални и човешки ресурси и организационна структура за изпълнение на нормативните изисквания за осъществяване на дейността по лицензията; имат вещни права върху енергийните обекти, чрез които ще се осъществява дейността, ако те са изградени (с </w:t>
      </w:r>
      <w:r w:rsidRPr="009B777B">
        <w:rPr>
          <w:rFonts w:ascii="Times New Roman" w:eastAsia="Times New Roman" w:hAnsi="Times New Roman" w:cs="Times New Roman"/>
          <w:sz w:val="24"/>
          <w:szCs w:val="24"/>
        </w:rPr>
        <w:t>опр</w:t>
      </w:r>
      <w:r w:rsidR="009B777B" w:rsidRPr="009B777B">
        <w:rPr>
          <w:rFonts w:ascii="Times New Roman" w:eastAsia="Times New Roman" w:hAnsi="Times New Roman" w:cs="Times New Roman"/>
          <w:sz w:val="24"/>
          <w:szCs w:val="24"/>
        </w:rPr>
        <w:t>еделени</w:t>
      </w:r>
      <w:r w:rsidR="004464CF">
        <w:rPr>
          <w:rFonts w:ascii="Times New Roman" w:eastAsia="Times New Roman" w:hAnsi="Times New Roman" w:cs="Times New Roman"/>
          <w:sz w:val="24"/>
          <w:szCs w:val="24"/>
        </w:rPr>
        <w:t xml:space="preserve"> </w:t>
      </w:r>
      <w:r w:rsidRPr="008D624C">
        <w:rPr>
          <w:rFonts w:ascii="Times New Roman" w:eastAsia="Times New Roman" w:hAnsi="Times New Roman" w:cs="Times New Roman"/>
          <w:sz w:val="24"/>
          <w:szCs w:val="24"/>
        </w:rPr>
        <w:t>изключения) и представят доказателства, че енергийните обекти, чрез които ще се осъществява дейността по лицензията, отговарят на нормативните изисквания за безопасна експлоатация и за опазване на околната среда. Лицен</w:t>
      </w:r>
      <w:r w:rsidR="00581728">
        <w:rPr>
          <w:rFonts w:ascii="Times New Roman" w:eastAsia="Times New Roman" w:hAnsi="Times New Roman" w:cs="Times New Roman"/>
          <w:sz w:val="24"/>
          <w:szCs w:val="24"/>
        </w:rPr>
        <w:t>зията се издава за срок до 35 години</w:t>
      </w:r>
      <w:r w:rsidRPr="008D624C">
        <w:rPr>
          <w:rFonts w:ascii="Times New Roman" w:eastAsia="Times New Roman" w:hAnsi="Times New Roman" w:cs="Times New Roman"/>
          <w:sz w:val="24"/>
          <w:szCs w:val="24"/>
        </w:rPr>
        <w:t>, който може да бъде удължен.</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Цялостният режим на лицензиране на нова ядрена мощност е уреден в Закона за безопасно използване на ядрената енергия.</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Ядрената енергия и източниците на йонизиращи лъчения могат да се използват от физически или юридически лица само след получаване на разрешение и/или лицензия за безопасното осъществяване на съответната дейност. Съгласно чл.</w:t>
      </w:r>
      <w:r w:rsidR="00581728">
        <w:rPr>
          <w:rFonts w:ascii="Times New Roman" w:eastAsia="Times New Roman" w:hAnsi="Times New Roman" w:cs="Times New Roman"/>
          <w:sz w:val="24"/>
          <w:szCs w:val="24"/>
        </w:rPr>
        <w:t xml:space="preserve"> 33-</w:t>
      </w:r>
      <w:r w:rsidRPr="008D624C">
        <w:rPr>
          <w:rFonts w:ascii="Times New Roman" w:eastAsia="Times New Roman" w:hAnsi="Times New Roman" w:cs="Times New Roman"/>
          <w:sz w:val="24"/>
          <w:szCs w:val="24"/>
        </w:rPr>
        <w:t>35 от ЗБИЯЕ</w:t>
      </w:r>
      <w:r w:rsidR="00581728">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процедурата по лицензиране на нова ядрена мощност включва издаването от председателя на АЯР на следните индивидуални административни актове, чрез които се контролира спазването на изискванията за безопасност на ядреното съоръжение:</w:t>
      </w:r>
    </w:p>
    <w:p w:rsidR="008D624C" w:rsidRPr="008D624C" w:rsidRDefault="008D624C" w:rsidP="002A32DA">
      <w:pPr>
        <w:numPr>
          <w:ilvl w:val="0"/>
          <w:numId w:val="3"/>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разрешение за определяне </w:t>
      </w:r>
      <w:r w:rsidR="00581728">
        <w:rPr>
          <w:rFonts w:ascii="Times New Roman" w:eastAsia="Times New Roman" w:hAnsi="Times New Roman" w:cs="Times New Roman"/>
          <w:sz w:val="24"/>
          <w:szCs w:val="24"/>
        </w:rPr>
        <w:t xml:space="preserve">на </w:t>
      </w:r>
      <w:r w:rsidRPr="008D624C">
        <w:rPr>
          <w:rFonts w:ascii="Times New Roman" w:eastAsia="Times New Roman" w:hAnsi="Times New Roman" w:cs="Times New Roman"/>
          <w:sz w:val="24"/>
          <w:szCs w:val="24"/>
        </w:rPr>
        <w:t>местоположението на ядрено съоръжение (избор на площадка);</w:t>
      </w:r>
    </w:p>
    <w:p w:rsidR="008D624C" w:rsidRPr="008D624C" w:rsidRDefault="008D624C" w:rsidP="002A32DA">
      <w:pPr>
        <w:numPr>
          <w:ilvl w:val="0"/>
          <w:numId w:val="3"/>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заповед за одобряване на избраната площадка;</w:t>
      </w:r>
    </w:p>
    <w:p w:rsidR="008D624C" w:rsidRPr="008D624C" w:rsidRDefault="008D624C" w:rsidP="002A32DA">
      <w:pPr>
        <w:numPr>
          <w:ilvl w:val="0"/>
          <w:numId w:val="3"/>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разрешение за проектиране;</w:t>
      </w:r>
    </w:p>
    <w:p w:rsidR="008D624C" w:rsidRPr="008D624C" w:rsidRDefault="008D624C" w:rsidP="002A32DA">
      <w:pPr>
        <w:numPr>
          <w:ilvl w:val="0"/>
          <w:numId w:val="3"/>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заповед за одобряване на техническия проект;</w:t>
      </w:r>
    </w:p>
    <w:p w:rsidR="008D624C" w:rsidRPr="008D624C" w:rsidRDefault="008D624C" w:rsidP="002A32DA">
      <w:pPr>
        <w:numPr>
          <w:ilvl w:val="0"/>
          <w:numId w:val="3"/>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разрешение за строителство;</w:t>
      </w:r>
    </w:p>
    <w:p w:rsidR="008D624C" w:rsidRPr="008D624C" w:rsidRDefault="008D624C" w:rsidP="002A32DA">
      <w:pPr>
        <w:numPr>
          <w:ilvl w:val="0"/>
          <w:numId w:val="3"/>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разрешение за въвеждане в експлоатация (след издаване на разрешение за ползване на обекта по Закона за устройство на територията);</w:t>
      </w:r>
    </w:p>
    <w:p w:rsidR="008D624C" w:rsidRPr="008D624C" w:rsidRDefault="008D624C" w:rsidP="002A32DA">
      <w:pPr>
        <w:numPr>
          <w:ilvl w:val="0"/>
          <w:numId w:val="3"/>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лицензия за експлоатация.</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Административните актове, свързани с лицензирането на ядрена централа, се издават въз основа на преценка, че заявителят притежава финансови, технически, материални ресурси и кадрови потенциал за осъществяването на дейността, че е създадена подходяща организация за осъществяването на дейността, както и въз основа на преценка, че са изпълнени изискванията на предходно издадените в хода на лицензионната процедура актове. Лицензиите и разрешенията се издават, изменят, подновяват, прекратяват и отнемат от председателя на АЯР. Лицензиите се издават за срок до 10 (десет) години. Разрешенията се издават за срок, определен съобразно вида на извършваната дейност. Процедурата, която се прилага при издаването на актовете на председателя на АЯР, се определя с Наредба за реда за издаване на лицензии и разрешения за безопасно използване на ядрената енергия (Наредба за лицензиране).</w:t>
      </w:r>
    </w:p>
    <w:p w:rsid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Лицензионната дейност по проекта е на етап одобрение на технически проект, като е получено становище на Агенцията за ядрено регулиране, което потвърждава валидността на издадените до момента разрешения и е отчетена евентуална необходимост от преразглеждане на техническия проект във връзка с нови изисквания по отношение на ядрената безопасност. При възобновяване на проекта, процедурата може да бъде продължена, като се приложи процедурата по чл. 21а, ал 1 от ЗБИЯЕ чрез прехвърляне на издадените разрешителни. </w:t>
      </w:r>
    </w:p>
    <w:p w:rsidR="00C4220F" w:rsidRPr="008D624C" w:rsidRDefault="00C4220F" w:rsidP="00E44C19">
      <w:pPr>
        <w:spacing w:before="120" w:after="120" w:line="240" w:lineRule="auto"/>
        <w:jc w:val="both"/>
        <w:rPr>
          <w:rFonts w:ascii="Times New Roman" w:eastAsia="Times New Roman" w:hAnsi="Times New Roman" w:cs="Times New Roman"/>
          <w:sz w:val="24"/>
          <w:szCs w:val="24"/>
        </w:rPr>
      </w:pPr>
    </w:p>
    <w:p w:rsidR="008D624C" w:rsidRPr="00C4220F" w:rsidRDefault="00F968DC" w:rsidP="00C4220F">
      <w:pPr>
        <w:pStyle w:val="Caption"/>
        <w:rPr>
          <w:rFonts w:ascii="Times New Roman" w:hAnsi="Times New Roman"/>
          <w:szCs w:val="24"/>
          <w:lang w:val="en-US"/>
        </w:rPr>
      </w:pPr>
      <w:bookmarkStart w:id="29" w:name="_Toc491680818"/>
      <w:bookmarkStart w:id="30" w:name="_Toc493240918"/>
      <w:r w:rsidRPr="00C4220F">
        <w:rPr>
          <w:rFonts w:ascii="Times New Roman" w:hAnsi="Times New Roman"/>
        </w:rPr>
        <w:lastRenderedPageBreak/>
        <w:t>Фигура V.</w:t>
      </w:r>
      <w:r w:rsidR="0097530B" w:rsidRPr="00C4220F">
        <w:rPr>
          <w:rFonts w:ascii="Times New Roman" w:hAnsi="Times New Roman"/>
        </w:rPr>
        <w:fldChar w:fldCharType="begin"/>
      </w:r>
      <w:r w:rsidR="00042F89" w:rsidRPr="00C4220F">
        <w:rPr>
          <w:rFonts w:ascii="Times New Roman" w:hAnsi="Times New Roman"/>
        </w:rPr>
        <w:instrText xml:space="preserve"> SEQ Фигура_V. \* ARABIC </w:instrText>
      </w:r>
      <w:r w:rsidR="0097530B" w:rsidRPr="00C4220F">
        <w:rPr>
          <w:rFonts w:ascii="Times New Roman" w:hAnsi="Times New Roman"/>
        </w:rPr>
        <w:fldChar w:fldCharType="separate"/>
      </w:r>
      <w:r w:rsidR="00F44EBF">
        <w:rPr>
          <w:rFonts w:ascii="Times New Roman" w:hAnsi="Times New Roman"/>
          <w:noProof/>
        </w:rPr>
        <w:t>2</w:t>
      </w:r>
      <w:r w:rsidR="0097530B" w:rsidRPr="00C4220F">
        <w:rPr>
          <w:rFonts w:ascii="Times New Roman" w:hAnsi="Times New Roman"/>
          <w:noProof/>
        </w:rPr>
        <w:fldChar w:fldCharType="end"/>
      </w:r>
      <w:r w:rsidR="00C4220F" w:rsidRPr="00C4220F">
        <w:rPr>
          <w:rFonts w:ascii="Times New Roman" w:hAnsi="Times New Roman"/>
          <w:noProof/>
        </w:rPr>
        <w:t xml:space="preserve">. </w:t>
      </w:r>
      <w:r w:rsidR="008D624C" w:rsidRPr="00C4220F">
        <w:rPr>
          <w:rFonts w:ascii="Times New Roman" w:hAnsi="Times New Roman"/>
          <w:szCs w:val="24"/>
        </w:rPr>
        <w:t xml:space="preserve">Етапи на лицензиране </w:t>
      </w:r>
      <w:r w:rsidR="002614EC" w:rsidRPr="00C4220F">
        <w:rPr>
          <w:rFonts w:ascii="Times New Roman" w:hAnsi="Times New Roman"/>
          <w:szCs w:val="24"/>
        </w:rPr>
        <w:t xml:space="preserve">на </w:t>
      </w:r>
      <w:r w:rsidR="008D624C" w:rsidRPr="00C4220F">
        <w:rPr>
          <w:rFonts w:ascii="Times New Roman" w:hAnsi="Times New Roman"/>
          <w:szCs w:val="24"/>
        </w:rPr>
        <w:t>изграждането на АЕЦ „Белене“</w:t>
      </w:r>
      <w:bookmarkEnd w:id="29"/>
      <w:bookmarkEnd w:id="30"/>
    </w:p>
    <w:p w:rsidR="008D624C" w:rsidRPr="008D624C" w:rsidRDefault="008D624C" w:rsidP="00E44C19">
      <w:pPr>
        <w:spacing w:before="120" w:after="120" w:line="240" w:lineRule="auto"/>
        <w:jc w:val="center"/>
        <w:rPr>
          <w:rFonts w:ascii="Times New Roman" w:eastAsia="Times New Roman" w:hAnsi="Times New Roman" w:cs="Times New Roman"/>
          <w:sz w:val="24"/>
          <w:szCs w:val="24"/>
        </w:rPr>
      </w:pPr>
      <w:r w:rsidRPr="008D624C">
        <w:rPr>
          <w:rFonts w:ascii="Times New Roman" w:eastAsia="Times New Roman" w:hAnsi="Times New Roman" w:cs="Times New Roman"/>
          <w:noProof/>
          <w:sz w:val="24"/>
          <w:szCs w:val="24"/>
        </w:rPr>
        <w:drawing>
          <wp:inline distT="0" distB="0" distL="0" distR="0">
            <wp:extent cx="5323659" cy="3661324"/>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srcRect/>
                    <a:stretch>
                      <a:fillRect/>
                    </a:stretch>
                  </pic:blipFill>
                  <pic:spPr bwMode="auto">
                    <a:xfrm>
                      <a:off x="0" y="0"/>
                      <a:ext cx="5319224" cy="3658274"/>
                    </a:xfrm>
                    <a:prstGeom prst="rect">
                      <a:avLst/>
                    </a:prstGeom>
                    <a:noFill/>
                  </pic:spPr>
                </pic:pic>
              </a:graphicData>
            </a:graphic>
          </wp:inline>
        </w:drawing>
      </w:r>
    </w:p>
    <w:p w:rsidR="008D624C" w:rsidRDefault="008D624C" w:rsidP="00E44C19">
      <w:pPr>
        <w:spacing w:before="120" w:after="120" w:line="240" w:lineRule="auto"/>
        <w:jc w:val="center"/>
        <w:rPr>
          <w:rFonts w:ascii="Times New Roman" w:eastAsia="Times New Roman" w:hAnsi="Times New Roman" w:cs="Times New Roman"/>
          <w:sz w:val="20"/>
          <w:szCs w:val="20"/>
        </w:rPr>
      </w:pPr>
      <w:r w:rsidRPr="008D624C">
        <w:rPr>
          <w:rFonts w:ascii="Times New Roman" w:eastAsia="Times New Roman" w:hAnsi="Times New Roman" w:cs="Times New Roman"/>
          <w:sz w:val="20"/>
          <w:szCs w:val="20"/>
        </w:rPr>
        <w:t>Източник: АЯР.</w:t>
      </w:r>
    </w:p>
    <w:p w:rsidR="004464CF" w:rsidRPr="008D624C" w:rsidRDefault="004464CF" w:rsidP="00E44C19">
      <w:pPr>
        <w:spacing w:before="120" w:after="120" w:line="240" w:lineRule="auto"/>
        <w:jc w:val="center"/>
        <w:rPr>
          <w:rFonts w:ascii="Times New Roman" w:eastAsia="Times New Roman" w:hAnsi="Times New Roman" w:cs="Times New Roman"/>
          <w:sz w:val="20"/>
          <w:szCs w:val="20"/>
        </w:rPr>
      </w:pP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ЗБИЯЕ дава възможност за прехвърляне на лицензия/разрешение. При преобразуване на юридическо лице </w:t>
      </w:r>
      <w:r w:rsidR="00977075">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титуляр на лицензия или разрешение, чрез вливане, сливане, разделяне, отделяне, отделяне на еднолично търговско дружество, промяна на правната форма, при прехвърляне на търговско предприятие или при непарична вноска в капитала на друго дружество на имущество </w:t>
      </w:r>
      <w:r w:rsidR="00977075">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обект на лицензии или разрешения по този закон, издадената лицензия или разрешение могат да бъдат изменени въз основа на предварително искане, подадено от лицето, приело решение за преобразуването или от страните по сделката по прехвърлянето на търговското предприятие или за извършване на непаричната вноска. </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Търговското дружество </w:t>
      </w:r>
      <w:r w:rsidR="00977075">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титуляр на разрешение или на лицензия по ЗБИЯЕ, което възнамерява да извърши преобразуване чрез вливане, сливане, разделяне, отделяне, отделяне на еднолично търговско дружество, промяна на правната форма, прехвърляне на търговското предприятие или непарична вноска в капитала на друго дружество на имущество </w:t>
      </w:r>
      <w:r w:rsidR="00977075">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обект на лицензии или разрешения, както и намаляване или увеличаване на капитала, е длъжно предварително да уведоми за това председателя на АЯР и да представи оценка за значението на тези действия за ядрената безопасност и радиационната защита.</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Процедурата за прехвърляне на разрешения/лицензии е уредена в чл. 18-19 от Наредбата за лицензиране. Сроковете за произнасяне от страна на АЯР в случай на заявление за прехвърляне на разрешителните, издадени по Проекта за изграждане на АЕЦ „Белене“, </w:t>
      </w:r>
      <w:r w:rsidR="00977075">
        <w:rPr>
          <w:rFonts w:ascii="Times New Roman" w:eastAsia="Times New Roman" w:hAnsi="Times New Roman" w:cs="Times New Roman"/>
          <w:sz w:val="24"/>
          <w:szCs w:val="24"/>
        </w:rPr>
        <w:t>са</w:t>
      </w:r>
      <w:r w:rsidRPr="008D624C">
        <w:rPr>
          <w:rFonts w:ascii="Times New Roman" w:eastAsia="Times New Roman" w:hAnsi="Times New Roman" w:cs="Times New Roman"/>
          <w:sz w:val="24"/>
          <w:szCs w:val="24"/>
        </w:rPr>
        <w:t xml:space="preserve"> три месеца. Като в случай на положително становище, лицензионната дейност може да бъде продължена от приобретателя.</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Сделки на разпореждане с ядрени съоръжения, които са в процес на въвеждане в експлоатация, въведени са в експлоатация или се експлоатират</w:t>
      </w:r>
      <w:r w:rsidR="00977075">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могат да се извършват </w:t>
      </w:r>
      <w:r w:rsidRPr="008D624C">
        <w:rPr>
          <w:rFonts w:ascii="Times New Roman" w:eastAsia="Times New Roman" w:hAnsi="Times New Roman" w:cs="Times New Roman"/>
          <w:sz w:val="24"/>
          <w:szCs w:val="24"/>
        </w:rPr>
        <w:lastRenderedPageBreak/>
        <w:t xml:space="preserve">след получаване на разрешение от страна на председателя на АЯР. Същото е валидно и по отношение на разрешение за сделка на разпореждане относно незавършен обект </w:t>
      </w:r>
      <w:r w:rsidR="00977075">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ядрено съоръжение, за което има издадено разрешение за строителство, ако приобретателят по сделката притежава лицензия за експлоат</w:t>
      </w:r>
      <w:r w:rsidR="00977075">
        <w:rPr>
          <w:rFonts w:ascii="Times New Roman" w:eastAsia="Times New Roman" w:hAnsi="Times New Roman" w:cs="Times New Roman"/>
          <w:sz w:val="24"/>
          <w:szCs w:val="24"/>
        </w:rPr>
        <w:t>ация на друго ядрено съоръжение</w:t>
      </w:r>
      <w:r w:rsidRPr="008D624C">
        <w:rPr>
          <w:rFonts w:ascii="Times New Roman" w:eastAsia="Times New Roman" w:hAnsi="Times New Roman" w:cs="Times New Roman"/>
          <w:sz w:val="24"/>
          <w:szCs w:val="24"/>
        </w:rPr>
        <w:t xml:space="preserve"> (чл. 63 от Наредбата за лицензиране).</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Издаването на разрешение за разпореждане с ядрено съоръжение не би било необходимо при разпореждане с активите по проекта зa изграждане на АЕЦ „Белене“. Не е налице обект, който да е в процес на въвеждане в експлоатация, въведен в експлоатация или да се е</w:t>
      </w:r>
      <w:r w:rsidR="00977075">
        <w:rPr>
          <w:rFonts w:ascii="Times New Roman" w:eastAsia="Times New Roman" w:hAnsi="Times New Roman" w:cs="Times New Roman"/>
          <w:sz w:val="24"/>
          <w:szCs w:val="24"/>
        </w:rPr>
        <w:t>ксплоатира, нито е на</w:t>
      </w:r>
      <w:r w:rsidRPr="008D624C">
        <w:rPr>
          <w:rFonts w:ascii="Times New Roman" w:eastAsia="Times New Roman" w:hAnsi="Times New Roman" w:cs="Times New Roman"/>
          <w:sz w:val="24"/>
          <w:szCs w:val="24"/>
        </w:rPr>
        <w:t>лице ядрено съоръжение, за което има издадено разрешение за строителство. По отношение на проекта АЕЦ „Белене“ са изпълнени следните стъпки от лицензионната процедура:</w:t>
      </w:r>
    </w:p>
    <w:p w:rsidR="008D624C" w:rsidRPr="008D624C" w:rsidRDefault="00977075" w:rsidP="002A32DA">
      <w:pPr>
        <w:numPr>
          <w:ilvl w:val="0"/>
          <w:numId w:val="3"/>
        </w:numPr>
        <w:spacing w:before="120" w:after="12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8D624C" w:rsidRPr="008D624C">
        <w:rPr>
          <w:rFonts w:ascii="Times New Roman" w:eastAsia="Times New Roman" w:hAnsi="Times New Roman" w:cs="Times New Roman"/>
          <w:sz w:val="24"/>
          <w:szCs w:val="24"/>
        </w:rPr>
        <w:t>здадено разрешение за избор на площадка, декември 2004 г</w:t>
      </w:r>
      <w:r>
        <w:rPr>
          <w:rFonts w:ascii="Times New Roman" w:eastAsia="Times New Roman" w:hAnsi="Times New Roman" w:cs="Times New Roman"/>
          <w:sz w:val="24"/>
          <w:szCs w:val="24"/>
        </w:rPr>
        <w:t>.</w:t>
      </w:r>
      <w:r w:rsidR="008D624C" w:rsidRPr="008D624C">
        <w:rPr>
          <w:rFonts w:ascii="Times New Roman" w:eastAsia="Times New Roman" w:hAnsi="Times New Roman" w:cs="Times New Roman"/>
          <w:sz w:val="24"/>
          <w:szCs w:val="24"/>
        </w:rPr>
        <w:t>;</w:t>
      </w:r>
    </w:p>
    <w:p w:rsidR="008D624C" w:rsidRPr="008D624C" w:rsidRDefault="00977075" w:rsidP="002A32DA">
      <w:pPr>
        <w:numPr>
          <w:ilvl w:val="0"/>
          <w:numId w:val="3"/>
        </w:numPr>
        <w:spacing w:before="120" w:after="12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8D624C" w:rsidRPr="008D624C">
        <w:rPr>
          <w:rFonts w:ascii="Times New Roman" w:eastAsia="Times New Roman" w:hAnsi="Times New Roman" w:cs="Times New Roman"/>
          <w:sz w:val="24"/>
          <w:szCs w:val="24"/>
        </w:rPr>
        <w:t>здадена заповед за одобряване на площадка „Белене“, декември 2006 г</w:t>
      </w:r>
      <w:r>
        <w:rPr>
          <w:rFonts w:ascii="Times New Roman" w:eastAsia="Times New Roman" w:hAnsi="Times New Roman" w:cs="Times New Roman"/>
          <w:sz w:val="24"/>
          <w:szCs w:val="24"/>
        </w:rPr>
        <w:t>.</w:t>
      </w:r>
      <w:r w:rsidR="008D624C" w:rsidRPr="008D624C">
        <w:rPr>
          <w:rFonts w:ascii="Times New Roman" w:eastAsia="Times New Roman" w:hAnsi="Times New Roman" w:cs="Times New Roman"/>
          <w:sz w:val="24"/>
          <w:szCs w:val="24"/>
        </w:rPr>
        <w:t>;</w:t>
      </w:r>
    </w:p>
    <w:p w:rsidR="008D624C" w:rsidRPr="008D624C" w:rsidRDefault="00977075" w:rsidP="002A32DA">
      <w:pPr>
        <w:numPr>
          <w:ilvl w:val="0"/>
          <w:numId w:val="3"/>
        </w:numPr>
        <w:spacing w:before="120" w:after="12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8D624C" w:rsidRPr="008D624C">
        <w:rPr>
          <w:rFonts w:ascii="Times New Roman" w:eastAsia="Times New Roman" w:hAnsi="Times New Roman" w:cs="Times New Roman"/>
          <w:sz w:val="24"/>
          <w:szCs w:val="24"/>
        </w:rPr>
        <w:t>здадени разрешения за проектиране на 1 и 2 блок на АЕЦ „Белене“;</w:t>
      </w:r>
    </w:p>
    <w:p w:rsidR="008D624C" w:rsidRPr="008D624C" w:rsidRDefault="00977075" w:rsidP="002A32DA">
      <w:pPr>
        <w:numPr>
          <w:ilvl w:val="0"/>
          <w:numId w:val="3"/>
        </w:numPr>
        <w:spacing w:before="120" w:after="12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8D624C" w:rsidRPr="008D624C">
        <w:rPr>
          <w:rFonts w:ascii="Times New Roman" w:eastAsia="Times New Roman" w:hAnsi="Times New Roman" w:cs="Times New Roman"/>
          <w:sz w:val="24"/>
          <w:szCs w:val="24"/>
        </w:rPr>
        <w:t>одадено заявление за одобряване на техническия проект, април 2008 г.</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В съответствие с подаденото заявление от април 2008 г., АЯР е стартирала процедура за преглед и оценка по същество на техническия проект. Към началото на 2012 г. оценката на техническия проект е завършена (Писмо на АЯР до Министъра на енергетиката от 18</w:t>
      </w:r>
      <w:r w:rsidR="00977075">
        <w:rPr>
          <w:rFonts w:ascii="Times New Roman" w:eastAsia="Times New Roman" w:hAnsi="Times New Roman" w:cs="Times New Roman"/>
          <w:sz w:val="24"/>
          <w:szCs w:val="24"/>
        </w:rPr>
        <w:t>.05.</w:t>
      </w:r>
      <w:r w:rsidRPr="008D624C">
        <w:rPr>
          <w:rFonts w:ascii="Times New Roman" w:eastAsia="Times New Roman" w:hAnsi="Times New Roman" w:cs="Times New Roman"/>
          <w:sz w:val="24"/>
          <w:szCs w:val="24"/>
        </w:rPr>
        <w:t>2017 г.).</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С оглед на </w:t>
      </w:r>
      <w:r w:rsidR="00977075">
        <w:rPr>
          <w:rFonts w:ascii="Times New Roman" w:eastAsia="Times New Roman" w:hAnsi="Times New Roman" w:cs="Times New Roman"/>
          <w:sz w:val="24"/>
          <w:szCs w:val="24"/>
        </w:rPr>
        <w:t>посоченото дотук, в случай</w:t>
      </w:r>
      <w:r w:rsidRPr="008D624C">
        <w:rPr>
          <w:rFonts w:ascii="Times New Roman" w:eastAsia="Times New Roman" w:hAnsi="Times New Roman" w:cs="Times New Roman"/>
          <w:sz w:val="24"/>
          <w:szCs w:val="24"/>
        </w:rPr>
        <w:t xml:space="preserve"> на възобновяване на проекта по съответния ред, лицензионното производство пред АЯР може да продължи от последния етап, до който е стигнало – оценка на техническия проект, след привеждане в съответствие с относими промени в действащото законодателство. Процедура може да бъде продължена в хипотезата на прехвърляне на съответните издадени разрешителни от страна на НЕК по описания ред. Не би било необходимо специално разрешение за извършване на сделка с ядрено съоръжение, доколкото не е налице обект, който се експлоатира, е въведен в експлоатация или е в процес на въвеждане в експлоатация. </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p>
    <w:p w:rsidR="008D624C" w:rsidRPr="008D624C" w:rsidRDefault="008D624C" w:rsidP="002A32DA">
      <w:pPr>
        <w:pStyle w:val="Heading3"/>
        <w:numPr>
          <w:ilvl w:val="2"/>
          <w:numId w:val="8"/>
        </w:numPr>
        <w:spacing w:before="120" w:after="120" w:line="240" w:lineRule="auto"/>
        <w:ind w:left="567" w:hanging="567"/>
        <w:jc w:val="both"/>
        <w:rPr>
          <w:rFonts w:ascii="Times New Roman" w:hAnsi="Times New Roman" w:cs="Times New Roman"/>
          <w:b w:val="0"/>
          <w:color w:val="auto"/>
          <w:sz w:val="24"/>
          <w:szCs w:val="24"/>
          <w:u w:val="single"/>
        </w:rPr>
      </w:pPr>
      <w:bookmarkStart w:id="31" w:name="_Toc491680784"/>
      <w:bookmarkStart w:id="32" w:name="_Toc492991246"/>
      <w:bookmarkStart w:id="33" w:name="_Toc492991306"/>
      <w:bookmarkStart w:id="34" w:name="_Toc492991329"/>
      <w:r w:rsidRPr="008D624C">
        <w:rPr>
          <w:rFonts w:ascii="Times New Roman" w:hAnsi="Times New Roman" w:cs="Times New Roman"/>
          <w:b w:val="0"/>
          <w:color w:val="auto"/>
          <w:sz w:val="24"/>
          <w:szCs w:val="24"/>
          <w:u w:val="single"/>
        </w:rPr>
        <w:t>Нотификации</w:t>
      </w:r>
      <w:bookmarkEnd w:id="31"/>
      <w:bookmarkEnd w:id="32"/>
      <w:bookmarkEnd w:id="33"/>
      <w:bookmarkEnd w:id="34"/>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Освен специфичните изисквания, свързани с изграждането и експлоатацията на ядрени съоръжения по реда на Договора Е</w:t>
      </w:r>
      <w:r w:rsidR="00977075" w:rsidRPr="008D624C">
        <w:rPr>
          <w:rFonts w:ascii="Times New Roman" w:eastAsia="Times New Roman" w:hAnsi="Times New Roman" w:cs="Times New Roman"/>
          <w:sz w:val="24"/>
          <w:szCs w:val="24"/>
        </w:rPr>
        <w:t>вратом</w:t>
      </w:r>
      <w:r w:rsidRPr="008D624C">
        <w:rPr>
          <w:rFonts w:ascii="Times New Roman" w:eastAsia="Times New Roman" w:hAnsi="Times New Roman" w:cs="Times New Roman"/>
          <w:sz w:val="24"/>
          <w:szCs w:val="24"/>
        </w:rPr>
        <w:t>, Република България е задължена да предоставя определен обем информация на органите на ЕК, в т.ч. по отношение на енергийни инвестиционни проекти, касаещи обозрими промени в производството, преноса и капацитетите за съхраняване на енергия и за проектите в различните сектори на енергетиката, във връзка с изграждането на функциониращ вътрешен енергиен пазар</w:t>
      </w:r>
      <w:r w:rsidR="00977075">
        <w:rPr>
          <w:rFonts w:ascii="Times New Roman" w:eastAsia="Times New Roman" w:hAnsi="Times New Roman" w:cs="Times New Roman"/>
          <w:sz w:val="24"/>
          <w:szCs w:val="24"/>
        </w:rPr>
        <w:t>.</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Процедурни</w:t>
      </w:r>
      <w:r>
        <w:rPr>
          <w:rFonts w:ascii="Times New Roman" w:eastAsia="Times New Roman" w:hAnsi="Times New Roman" w:cs="Times New Roman"/>
          <w:sz w:val="24"/>
          <w:szCs w:val="24"/>
        </w:rPr>
        <w:t xml:space="preserve"> изисквания съгласно чл</w:t>
      </w:r>
      <w:r w:rsidR="009770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41</w:t>
      </w:r>
      <w:r>
        <w:rPr>
          <w:rFonts w:ascii="Times New Roman" w:eastAsia="Times New Roman" w:hAnsi="Times New Roman" w:cs="Times New Roman"/>
          <w:sz w:val="24"/>
          <w:szCs w:val="24"/>
          <w:lang w:val="en-US"/>
        </w:rPr>
        <w:t>-</w:t>
      </w:r>
      <w:r w:rsidRPr="008D624C">
        <w:rPr>
          <w:rFonts w:ascii="Times New Roman" w:eastAsia="Times New Roman" w:hAnsi="Times New Roman" w:cs="Times New Roman"/>
          <w:sz w:val="24"/>
          <w:szCs w:val="24"/>
        </w:rPr>
        <w:t>44 от Договора за създаване на Европейската общност за атомна енергия</w:t>
      </w:r>
      <w:r w:rsidR="00977075">
        <w:rPr>
          <w:rFonts w:ascii="Times New Roman" w:eastAsia="Times New Roman" w:hAnsi="Times New Roman" w:cs="Times New Roman"/>
          <w:sz w:val="24"/>
          <w:szCs w:val="24"/>
        </w:rPr>
        <w:t>.</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Съгласно чл</w:t>
      </w:r>
      <w:r w:rsidR="00D87BD2">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41 и 42 от Договора Е</w:t>
      </w:r>
      <w:r w:rsidR="00D87BD2" w:rsidRPr="008D624C">
        <w:rPr>
          <w:rFonts w:ascii="Times New Roman" w:eastAsia="Times New Roman" w:hAnsi="Times New Roman" w:cs="Times New Roman"/>
          <w:sz w:val="24"/>
          <w:szCs w:val="24"/>
        </w:rPr>
        <w:t>вратом</w:t>
      </w:r>
      <w:r w:rsidR="00D87BD2">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предприятията са длъжни да съобщават инвестиционните си проекти за енергийна инфраструктура. Необходимо е тази информация да бъде допълнена, по-специално с периодично докладване относно изпълнението на инвестиционните проекти</w:t>
      </w:r>
      <w:r w:rsidR="00D87BD2">
        <w:rPr>
          <w:rFonts w:ascii="Times New Roman" w:eastAsia="Times New Roman" w:hAnsi="Times New Roman" w:cs="Times New Roman"/>
          <w:sz w:val="24"/>
          <w:szCs w:val="24"/>
        </w:rPr>
        <w:t>. Лицата и предприятията</w:t>
      </w:r>
      <w:r w:rsidRPr="008D624C">
        <w:rPr>
          <w:rFonts w:ascii="Times New Roman" w:eastAsia="Times New Roman" w:hAnsi="Times New Roman" w:cs="Times New Roman"/>
          <w:sz w:val="24"/>
          <w:szCs w:val="24"/>
        </w:rPr>
        <w:t xml:space="preserve"> са длъжни да съобщят на Комисията инвестиционните проекти, отнасящи се до нови съоръжения, </w:t>
      </w:r>
      <w:r w:rsidR="00D87BD2">
        <w:rPr>
          <w:rFonts w:ascii="Times New Roman" w:eastAsia="Times New Roman" w:hAnsi="Times New Roman" w:cs="Times New Roman"/>
          <w:sz w:val="24"/>
          <w:szCs w:val="24"/>
        </w:rPr>
        <w:t>както</w:t>
      </w:r>
      <w:r w:rsidRPr="008D624C">
        <w:rPr>
          <w:rFonts w:ascii="Times New Roman" w:eastAsia="Times New Roman" w:hAnsi="Times New Roman" w:cs="Times New Roman"/>
          <w:sz w:val="24"/>
          <w:szCs w:val="24"/>
        </w:rPr>
        <w:t xml:space="preserve"> и замените или преобразуванията</w:t>
      </w:r>
      <w:r w:rsidR="00D87BD2">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не по-късно от три месеца преди сключването на първите договори с доставчиците</w:t>
      </w:r>
      <w:r w:rsidR="00D87BD2">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или, ако работата се осъществява от </w:t>
      </w:r>
      <w:r w:rsidRPr="008D624C">
        <w:rPr>
          <w:rFonts w:ascii="Times New Roman" w:eastAsia="Times New Roman" w:hAnsi="Times New Roman" w:cs="Times New Roman"/>
          <w:sz w:val="24"/>
          <w:szCs w:val="24"/>
        </w:rPr>
        <w:lastRenderedPageBreak/>
        <w:t xml:space="preserve">предприятието с негови собствени средства </w:t>
      </w:r>
      <w:r>
        <w:rPr>
          <w:rFonts w:ascii="Times New Roman" w:eastAsia="Times New Roman" w:hAnsi="Times New Roman" w:cs="Times New Roman"/>
          <w:sz w:val="24"/>
          <w:szCs w:val="24"/>
          <w:lang w:val="en-US"/>
        </w:rPr>
        <w:t>–</w:t>
      </w:r>
      <w:r w:rsidRPr="008D624C">
        <w:rPr>
          <w:rFonts w:ascii="Times New Roman" w:eastAsia="Times New Roman" w:hAnsi="Times New Roman" w:cs="Times New Roman"/>
          <w:sz w:val="24"/>
          <w:szCs w:val="24"/>
        </w:rPr>
        <w:t xml:space="preserve"> три месеца преди началото на работата. Комисията обсъжда с лицата или предприятията всички аспекти на инвестиционните проекти и съобщава становището си на заинтересованата държава-членка (чл.43 от Договора Е</w:t>
      </w:r>
      <w:r w:rsidR="00D87BD2" w:rsidRPr="008D624C">
        <w:rPr>
          <w:rFonts w:ascii="Times New Roman" w:eastAsia="Times New Roman" w:hAnsi="Times New Roman" w:cs="Times New Roman"/>
          <w:sz w:val="24"/>
          <w:szCs w:val="24"/>
        </w:rPr>
        <w:t>вратом</w:t>
      </w:r>
      <w:r w:rsidRPr="008D624C">
        <w:rPr>
          <w:rFonts w:ascii="Times New Roman" w:eastAsia="Times New Roman" w:hAnsi="Times New Roman" w:cs="Times New Roman"/>
          <w:sz w:val="24"/>
          <w:szCs w:val="24"/>
        </w:rPr>
        <w:t>).</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Съобщението на Комисията до </w:t>
      </w:r>
      <w:r w:rsidRPr="00A30DC3">
        <w:rPr>
          <w:rFonts w:ascii="Times New Roman" w:eastAsia="Times New Roman" w:hAnsi="Times New Roman" w:cs="Times New Roman"/>
          <w:caps/>
          <w:sz w:val="24"/>
          <w:szCs w:val="24"/>
        </w:rPr>
        <w:t>е</w:t>
      </w:r>
      <w:r w:rsidRPr="008D624C">
        <w:rPr>
          <w:rFonts w:ascii="Times New Roman" w:eastAsia="Times New Roman" w:hAnsi="Times New Roman" w:cs="Times New Roman"/>
          <w:sz w:val="24"/>
          <w:szCs w:val="24"/>
        </w:rPr>
        <w:t>вропейския парламент и Съвета относно използването на финансовите ресурси, определени за извеждане от експлоатация на ядрени инсталации, отработено гориво и радиоактивни отпадъци</w:t>
      </w:r>
      <w:r w:rsidR="00A30DC3">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съдържа препоръки във връзка с представянето, в рамките на процедурата по чл.41 от Договора Е</w:t>
      </w:r>
      <w:r w:rsidR="00A30DC3" w:rsidRPr="008D624C">
        <w:rPr>
          <w:rFonts w:ascii="Times New Roman" w:eastAsia="Times New Roman" w:hAnsi="Times New Roman" w:cs="Times New Roman"/>
          <w:sz w:val="24"/>
          <w:szCs w:val="24"/>
        </w:rPr>
        <w:t>вратом</w:t>
      </w:r>
      <w:r w:rsidRPr="008D624C">
        <w:rPr>
          <w:rFonts w:ascii="Times New Roman" w:eastAsia="Times New Roman" w:hAnsi="Times New Roman" w:cs="Times New Roman"/>
          <w:sz w:val="24"/>
          <w:szCs w:val="24"/>
        </w:rPr>
        <w:t>, на подробно разработена схема за финансиране на извеждането от експлоатация, която да е включена в законодателството.</w:t>
      </w:r>
    </w:p>
    <w:p w:rsid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В Регламент (ЕО) № 1209/2000 на Комисията от </w:t>
      </w:r>
      <w:r w:rsidR="00A30DC3">
        <w:rPr>
          <w:rFonts w:ascii="Times New Roman" w:eastAsia="Times New Roman" w:hAnsi="Times New Roman" w:cs="Times New Roman"/>
          <w:sz w:val="24"/>
          <w:szCs w:val="24"/>
        </w:rPr>
        <w:t>0</w:t>
      </w:r>
      <w:r w:rsidRPr="008D624C">
        <w:rPr>
          <w:rFonts w:ascii="Times New Roman" w:eastAsia="Times New Roman" w:hAnsi="Times New Roman" w:cs="Times New Roman"/>
          <w:sz w:val="24"/>
          <w:szCs w:val="24"/>
        </w:rPr>
        <w:t>8</w:t>
      </w:r>
      <w:r w:rsidR="00A30DC3">
        <w:rPr>
          <w:rFonts w:ascii="Times New Roman" w:eastAsia="Times New Roman" w:hAnsi="Times New Roman" w:cs="Times New Roman"/>
          <w:sz w:val="24"/>
          <w:szCs w:val="24"/>
        </w:rPr>
        <w:t>.06.</w:t>
      </w:r>
      <w:r w:rsidRPr="008D624C">
        <w:rPr>
          <w:rFonts w:ascii="Times New Roman" w:eastAsia="Times New Roman" w:hAnsi="Times New Roman" w:cs="Times New Roman"/>
          <w:sz w:val="24"/>
          <w:szCs w:val="24"/>
        </w:rPr>
        <w:t>2000 г</w:t>
      </w:r>
      <w:r w:rsidR="00A30DC3">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относно определянето на процедурите за осъществяване на съобщенията, предвидени в чл</w:t>
      </w:r>
      <w:r w:rsidR="00A30DC3">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41 от Договора за създаване на Европейската общност за атомна енергия</w:t>
      </w:r>
      <w:r w:rsidR="00A30DC3">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е определена информацията, която трябва да се съобщава за всеки вид инвестиционен проект</w:t>
      </w:r>
      <w:r w:rsidR="00A30DC3">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и е даден образец на формуляр за тази цел.</w:t>
      </w:r>
    </w:p>
    <w:p w:rsidR="00A30DC3" w:rsidRPr="008D624C" w:rsidRDefault="00A30DC3" w:rsidP="00E44C19">
      <w:pPr>
        <w:spacing w:before="120" w:after="120" w:line="240" w:lineRule="auto"/>
        <w:jc w:val="both"/>
        <w:rPr>
          <w:rFonts w:ascii="Times New Roman" w:eastAsia="Times New Roman" w:hAnsi="Times New Roman" w:cs="Times New Roman"/>
          <w:sz w:val="24"/>
          <w:szCs w:val="24"/>
        </w:rPr>
      </w:pPr>
    </w:p>
    <w:p w:rsidR="008D624C" w:rsidRPr="00A30DC3" w:rsidRDefault="008D624C" w:rsidP="00E44C19">
      <w:pPr>
        <w:spacing w:before="120" w:after="120" w:line="240" w:lineRule="auto"/>
        <w:jc w:val="both"/>
        <w:rPr>
          <w:rFonts w:ascii="Times New Roman" w:eastAsia="Times New Roman" w:hAnsi="Times New Roman" w:cs="Times New Roman"/>
          <w:i/>
          <w:sz w:val="24"/>
          <w:szCs w:val="24"/>
        </w:rPr>
      </w:pPr>
      <w:r w:rsidRPr="00A30DC3">
        <w:rPr>
          <w:rFonts w:ascii="Times New Roman" w:eastAsia="Times New Roman" w:hAnsi="Times New Roman" w:cs="Times New Roman"/>
          <w:i/>
          <w:sz w:val="24"/>
          <w:szCs w:val="24"/>
        </w:rPr>
        <w:t>Процедурни изисквания във връзка с инвестиционни проекти в енергийна инфраструктура</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Регламент (ЕС) № 256/2014 на Европейския парламент и на Съвета от 26</w:t>
      </w:r>
      <w:r w:rsidR="00A30DC3">
        <w:rPr>
          <w:rFonts w:ascii="Times New Roman" w:eastAsia="Times New Roman" w:hAnsi="Times New Roman" w:cs="Times New Roman"/>
          <w:sz w:val="24"/>
          <w:szCs w:val="24"/>
        </w:rPr>
        <w:t>.02.</w:t>
      </w:r>
      <w:r w:rsidRPr="008D624C">
        <w:rPr>
          <w:rFonts w:ascii="Times New Roman" w:eastAsia="Times New Roman" w:hAnsi="Times New Roman" w:cs="Times New Roman"/>
          <w:sz w:val="24"/>
          <w:szCs w:val="24"/>
        </w:rPr>
        <w:t>2014 г</w:t>
      </w:r>
      <w:r w:rsidR="00A30DC3">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относно нотифицирането до Комисията на инвестиционните проекти в областта на енергийната инфраструктура в Европейския съюз, въвежда обща нормативна уредба за нотификация до Комисията на данни и информация за инвестиционни проекти за енергийна инфраструктура в секторите на течните горива, природния газ, въглищата, електроенергията, включително електроенергията от възобновяеми източници, електроенергията от въглища и лигнит, комбинираното производство на електроенергия и полезна топлоенергия, както и за инвестиционните проекти за производство на биогорива и за улавяне, пренос и съхранение на въглероден диоксид, генериран в тези сектори. Той се прилага за инвестиционните проекти, които са с вече започнали дейности по изграждане или извеждане от експлоатация, или за които е взето окончателно инвестиционно решение. Регламент за изпълнение (ЕС) № 1113/2014 на Комисията от 16</w:t>
      </w:r>
      <w:r w:rsidR="00BA738C">
        <w:rPr>
          <w:rFonts w:ascii="Times New Roman" w:eastAsia="Times New Roman" w:hAnsi="Times New Roman" w:cs="Times New Roman"/>
          <w:sz w:val="24"/>
          <w:szCs w:val="24"/>
        </w:rPr>
        <w:t>.10.</w:t>
      </w:r>
      <w:r w:rsidRPr="008D624C">
        <w:rPr>
          <w:rFonts w:ascii="Times New Roman" w:eastAsia="Times New Roman" w:hAnsi="Times New Roman" w:cs="Times New Roman"/>
          <w:sz w:val="24"/>
          <w:szCs w:val="24"/>
        </w:rPr>
        <w:t>2014 г</w:t>
      </w:r>
      <w:r w:rsidR="00BA738C">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за установяване на формата и техническите подробности за нотификация, посочена в чл</w:t>
      </w:r>
      <w:r w:rsidR="00BA738C">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3 и 5 от Регламент (ЕС) № 256/2014 на Европейския парламент и на Съвета, и за отмяна на Регламенти (ЕО) № 2386/96 и (ЕС, Е</w:t>
      </w:r>
      <w:r w:rsidR="00BA738C" w:rsidRPr="008D624C">
        <w:rPr>
          <w:rFonts w:ascii="Times New Roman" w:eastAsia="Times New Roman" w:hAnsi="Times New Roman" w:cs="Times New Roman"/>
          <w:sz w:val="24"/>
          <w:szCs w:val="24"/>
        </w:rPr>
        <w:t>вратом</w:t>
      </w:r>
      <w:r w:rsidRPr="008D624C">
        <w:rPr>
          <w:rFonts w:ascii="Times New Roman" w:eastAsia="Times New Roman" w:hAnsi="Times New Roman" w:cs="Times New Roman"/>
          <w:sz w:val="24"/>
          <w:szCs w:val="24"/>
        </w:rPr>
        <w:t>) № 833/2010 на Комисията</w:t>
      </w:r>
      <w:r w:rsidR="00BA738C">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определя формата и техническите подробности за нотификацията до Комисията на данни и информация относно инвестиционните проекти в областта на енергийната инфраструктура. </w:t>
      </w:r>
      <w:r w:rsidRPr="00D21643">
        <w:rPr>
          <w:rFonts w:ascii="Times New Roman" w:eastAsia="Times New Roman" w:hAnsi="Times New Roman" w:cs="Times New Roman"/>
          <w:sz w:val="24"/>
          <w:szCs w:val="24"/>
        </w:rPr>
        <w:t xml:space="preserve">Приложение Е1 „Производство на електроенергия“ </w:t>
      </w:r>
      <w:r w:rsidRPr="008D624C">
        <w:rPr>
          <w:rFonts w:ascii="Times New Roman" w:eastAsia="Times New Roman" w:hAnsi="Times New Roman" w:cs="Times New Roman"/>
          <w:sz w:val="24"/>
          <w:szCs w:val="24"/>
        </w:rPr>
        <w:t>съдържа образец относно формата за подаване на информация по отношение на проекти за изграждане на атомни електроцентрали с мощност</w:t>
      </w:r>
      <w:r w:rsidR="00BA738C">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равна или по-голяма </w:t>
      </w:r>
      <w:r w:rsidR="00BA738C">
        <w:rPr>
          <w:rFonts w:ascii="Times New Roman" w:eastAsia="Times New Roman" w:hAnsi="Times New Roman" w:cs="Times New Roman"/>
          <w:sz w:val="24"/>
          <w:szCs w:val="24"/>
        </w:rPr>
        <w:t>от</w:t>
      </w:r>
      <w:r w:rsidRPr="008D624C">
        <w:rPr>
          <w:rFonts w:ascii="Times New Roman" w:eastAsia="Times New Roman" w:hAnsi="Times New Roman" w:cs="Times New Roman"/>
          <w:sz w:val="24"/>
          <w:szCs w:val="24"/>
        </w:rPr>
        <w:t xml:space="preserve"> 100 MW. </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С оглед на </w:t>
      </w:r>
      <w:r w:rsidR="00BA738C">
        <w:rPr>
          <w:rFonts w:ascii="Times New Roman" w:eastAsia="Times New Roman" w:hAnsi="Times New Roman" w:cs="Times New Roman"/>
          <w:sz w:val="24"/>
          <w:szCs w:val="24"/>
        </w:rPr>
        <w:t>казаното дотук</w:t>
      </w:r>
      <w:r w:rsidRPr="008D624C">
        <w:rPr>
          <w:rFonts w:ascii="Times New Roman" w:eastAsia="Times New Roman" w:hAnsi="Times New Roman" w:cs="Times New Roman"/>
          <w:sz w:val="24"/>
          <w:szCs w:val="24"/>
        </w:rPr>
        <w:t xml:space="preserve">, при възобновяване на проекта за изграждане </w:t>
      </w:r>
      <w:r w:rsidR="00BA738C">
        <w:rPr>
          <w:rFonts w:ascii="Times New Roman" w:eastAsia="Times New Roman" w:hAnsi="Times New Roman" w:cs="Times New Roman"/>
          <w:sz w:val="24"/>
          <w:szCs w:val="24"/>
        </w:rPr>
        <w:t>на ядрена централа АЕЦ „Белене“</w:t>
      </w:r>
      <w:r w:rsidRPr="008D624C">
        <w:rPr>
          <w:rFonts w:ascii="Times New Roman" w:eastAsia="Times New Roman" w:hAnsi="Times New Roman" w:cs="Times New Roman"/>
          <w:sz w:val="24"/>
          <w:szCs w:val="24"/>
        </w:rPr>
        <w:t xml:space="preserve"> ЕК </w:t>
      </w:r>
      <w:r w:rsidR="00BA738C">
        <w:rPr>
          <w:rFonts w:ascii="Times New Roman" w:eastAsia="Times New Roman" w:hAnsi="Times New Roman" w:cs="Times New Roman"/>
          <w:sz w:val="24"/>
          <w:szCs w:val="24"/>
        </w:rPr>
        <w:t>тряб</w:t>
      </w:r>
      <w:r w:rsidRPr="008D624C">
        <w:rPr>
          <w:rFonts w:ascii="Times New Roman" w:eastAsia="Times New Roman" w:hAnsi="Times New Roman" w:cs="Times New Roman"/>
          <w:sz w:val="24"/>
          <w:szCs w:val="24"/>
        </w:rPr>
        <w:t>ва да бъде уведомена по реда на изброените механизми. От гледна точка на ЕК</w:t>
      </w:r>
      <w:r w:rsidR="00BA738C">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проектът е прекратен, въпреки полученото одобрение съгласно Договора за Е</w:t>
      </w:r>
      <w:r w:rsidR="00BA738C" w:rsidRPr="008D624C">
        <w:rPr>
          <w:rFonts w:ascii="Times New Roman" w:eastAsia="Times New Roman" w:hAnsi="Times New Roman" w:cs="Times New Roman"/>
          <w:sz w:val="24"/>
          <w:szCs w:val="24"/>
        </w:rPr>
        <w:t>вратом</w:t>
      </w:r>
      <w:r w:rsidRPr="008D624C">
        <w:rPr>
          <w:rFonts w:ascii="Times New Roman" w:eastAsia="Times New Roman" w:hAnsi="Times New Roman" w:cs="Times New Roman"/>
          <w:sz w:val="24"/>
          <w:szCs w:val="24"/>
        </w:rPr>
        <w:t xml:space="preserve"> от страна на Европейската комисия в становище C (2007) 5860 от </w:t>
      </w:r>
      <w:r w:rsidR="00BA738C">
        <w:rPr>
          <w:rFonts w:ascii="Times New Roman" w:eastAsia="Times New Roman" w:hAnsi="Times New Roman" w:cs="Times New Roman"/>
          <w:sz w:val="24"/>
          <w:szCs w:val="24"/>
        </w:rPr>
        <w:t>0</w:t>
      </w:r>
      <w:r w:rsidRPr="008D624C">
        <w:rPr>
          <w:rFonts w:ascii="Times New Roman" w:eastAsia="Times New Roman" w:hAnsi="Times New Roman" w:cs="Times New Roman"/>
          <w:sz w:val="24"/>
          <w:szCs w:val="24"/>
        </w:rPr>
        <w:t>7</w:t>
      </w:r>
      <w:r w:rsidR="00BA738C">
        <w:rPr>
          <w:rFonts w:ascii="Times New Roman" w:eastAsia="Times New Roman" w:hAnsi="Times New Roman" w:cs="Times New Roman"/>
          <w:sz w:val="24"/>
          <w:szCs w:val="24"/>
        </w:rPr>
        <w:t>.12.</w:t>
      </w:r>
      <w:r w:rsidRPr="008D624C">
        <w:rPr>
          <w:rFonts w:ascii="Times New Roman" w:eastAsia="Times New Roman" w:hAnsi="Times New Roman" w:cs="Times New Roman"/>
          <w:sz w:val="24"/>
          <w:szCs w:val="24"/>
        </w:rPr>
        <w:t>2007</w:t>
      </w:r>
      <w:r w:rsidR="00BA738C">
        <w:rPr>
          <w:rFonts w:ascii="Times New Roman" w:eastAsia="Times New Roman" w:hAnsi="Times New Roman" w:cs="Times New Roman"/>
          <w:sz w:val="24"/>
          <w:szCs w:val="24"/>
        </w:rPr>
        <w:t xml:space="preserve"> г</w:t>
      </w:r>
      <w:r w:rsidRPr="008D624C">
        <w:rPr>
          <w:rFonts w:ascii="Times New Roman" w:eastAsia="Times New Roman" w:hAnsi="Times New Roman" w:cs="Times New Roman"/>
          <w:sz w:val="24"/>
          <w:szCs w:val="24"/>
        </w:rPr>
        <w:t>.</w:t>
      </w:r>
    </w:p>
    <w:p w:rsidR="008D624C" w:rsidRPr="008D624C" w:rsidRDefault="008D624C" w:rsidP="002A32DA">
      <w:pPr>
        <w:pStyle w:val="Heading3"/>
        <w:numPr>
          <w:ilvl w:val="2"/>
          <w:numId w:val="8"/>
        </w:numPr>
        <w:spacing w:before="120" w:after="120" w:line="240" w:lineRule="auto"/>
        <w:ind w:left="567" w:hanging="567"/>
        <w:jc w:val="both"/>
        <w:rPr>
          <w:rFonts w:ascii="Times New Roman" w:hAnsi="Times New Roman" w:cs="Times New Roman"/>
          <w:b w:val="0"/>
          <w:color w:val="auto"/>
          <w:sz w:val="24"/>
          <w:szCs w:val="24"/>
          <w:u w:val="single"/>
        </w:rPr>
      </w:pPr>
      <w:bookmarkStart w:id="35" w:name="_Toc491680785"/>
      <w:bookmarkStart w:id="36" w:name="_Toc492991247"/>
      <w:bookmarkStart w:id="37" w:name="_Toc492991307"/>
      <w:bookmarkStart w:id="38" w:name="_Toc492991330"/>
      <w:r w:rsidRPr="008D624C">
        <w:rPr>
          <w:rFonts w:ascii="Times New Roman" w:hAnsi="Times New Roman" w:cs="Times New Roman"/>
          <w:b w:val="0"/>
          <w:color w:val="auto"/>
          <w:sz w:val="24"/>
          <w:szCs w:val="24"/>
          <w:u w:val="single"/>
        </w:rPr>
        <w:t>Осигуряване безопасността на ядрените централи</w:t>
      </w:r>
      <w:bookmarkEnd w:id="35"/>
      <w:bookmarkEnd w:id="36"/>
      <w:bookmarkEnd w:id="37"/>
      <w:bookmarkEnd w:id="38"/>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Д</w:t>
      </w:r>
      <w:r w:rsidR="00BA738C" w:rsidRPr="008D624C">
        <w:rPr>
          <w:rFonts w:ascii="Times New Roman" w:eastAsia="Times New Roman" w:hAnsi="Times New Roman" w:cs="Times New Roman"/>
          <w:sz w:val="24"/>
          <w:szCs w:val="24"/>
        </w:rPr>
        <w:t>иректива</w:t>
      </w:r>
      <w:r w:rsidRPr="008D624C">
        <w:rPr>
          <w:rFonts w:ascii="Times New Roman" w:eastAsia="Times New Roman" w:hAnsi="Times New Roman" w:cs="Times New Roman"/>
          <w:sz w:val="24"/>
          <w:szCs w:val="24"/>
        </w:rPr>
        <w:t xml:space="preserve"> 2014/87/Е</w:t>
      </w:r>
      <w:r w:rsidR="00BA738C" w:rsidRPr="008D624C">
        <w:rPr>
          <w:rFonts w:ascii="Times New Roman" w:eastAsia="Times New Roman" w:hAnsi="Times New Roman" w:cs="Times New Roman"/>
          <w:sz w:val="24"/>
          <w:szCs w:val="24"/>
        </w:rPr>
        <w:t>вратомна</w:t>
      </w:r>
      <w:r w:rsidRPr="008D624C">
        <w:rPr>
          <w:rFonts w:ascii="Times New Roman" w:eastAsia="Times New Roman" w:hAnsi="Times New Roman" w:cs="Times New Roman"/>
          <w:sz w:val="24"/>
          <w:szCs w:val="24"/>
        </w:rPr>
        <w:t xml:space="preserve"> С</w:t>
      </w:r>
      <w:r w:rsidR="00BA738C" w:rsidRPr="008D624C">
        <w:rPr>
          <w:rFonts w:ascii="Times New Roman" w:eastAsia="Times New Roman" w:hAnsi="Times New Roman" w:cs="Times New Roman"/>
          <w:sz w:val="24"/>
          <w:szCs w:val="24"/>
        </w:rPr>
        <w:t>ъвета</w:t>
      </w:r>
      <w:r w:rsidRPr="008D624C">
        <w:rPr>
          <w:rFonts w:ascii="Times New Roman" w:eastAsia="Times New Roman" w:hAnsi="Times New Roman" w:cs="Times New Roman"/>
          <w:sz w:val="24"/>
          <w:szCs w:val="24"/>
        </w:rPr>
        <w:t xml:space="preserve"> от </w:t>
      </w:r>
      <w:r w:rsidR="00BA738C">
        <w:rPr>
          <w:rFonts w:ascii="Times New Roman" w:eastAsia="Times New Roman" w:hAnsi="Times New Roman" w:cs="Times New Roman"/>
          <w:sz w:val="24"/>
          <w:szCs w:val="24"/>
        </w:rPr>
        <w:t>0</w:t>
      </w:r>
      <w:r w:rsidRPr="008D624C">
        <w:rPr>
          <w:rFonts w:ascii="Times New Roman" w:eastAsia="Times New Roman" w:hAnsi="Times New Roman" w:cs="Times New Roman"/>
          <w:sz w:val="24"/>
          <w:szCs w:val="24"/>
        </w:rPr>
        <w:t>8</w:t>
      </w:r>
      <w:r w:rsidR="00BA738C">
        <w:rPr>
          <w:rFonts w:ascii="Times New Roman" w:eastAsia="Times New Roman" w:hAnsi="Times New Roman" w:cs="Times New Roman"/>
          <w:sz w:val="24"/>
          <w:szCs w:val="24"/>
        </w:rPr>
        <w:t>.07.</w:t>
      </w:r>
      <w:r w:rsidRPr="008D624C">
        <w:rPr>
          <w:rFonts w:ascii="Times New Roman" w:eastAsia="Times New Roman" w:hAnsi="Times New Roman" w:cs="Times New Roman"/>
          <w:sz w:val="24"/>
          <w:szCs w:val="24"/>
        </w:rPr>
        <w:t>2014 г</w:t>
      </w:r>
      <w:r w:rsidR="00BA738C">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за изменение на Директива 2009/71/Евратом за установяване на общностна рамка за ядрената безопасност на </w:t>
      </w:r>
      <w:r w:rsidRPr="008D624C">
        <w:rPr>
          <w:rFonts w:ascii="Times New Roman" w:eastAsia="Times New Roman" w:hAnsi="Times New Roman" w:cs="Times New Roman"/>
          <w:sz w:val="24"/>
          <w:szCs w:val="24"/>
        </w:rPr>
        <w:lastRenderedPageBreak/>
        <w:t>ядрените инсталации налага на държавите-членки задължения за създаване и поддържане на национална рамка за ядрена безопасност. Тази директива отразява разпоредбите на основните международни инструменти в областта на ядрената безопасност, а именно Конвенцията за ядрена безопасност, както и Основите за безопасност (Safety Fundamentals), установени от Международната агенция за атомна енергия (IAEA).</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Тя въвежда обща за ЕС цел за ядрена безопасност, която подчертава предотвратяването на аварии и избягването на значителни радиоактивни изхвърляния. Създава Европейска система за периодични тематични партньорски проверки </w:t>
      </w:r>
      <w:r>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механизъм за сътрудничество и координация между държавите-членки на ЕС с цел изграждане на доверие, развитие и обмяна на опит и осигуряване на общо прилагане на високи стандарти за ядрена безопасност. Въвежда повишени изисквания по отношение на прозрачността по въпросите на ядрената безопасност (задължения за информиране и сътрудничество и участие н</w:t>
      </w:r>
      <w:r w:rsidR="00BA738C">
        <w:rPr>
          <w:rFonts w:ascii="Times New Roman" w:eastAsia="Times New Roman" w:hAnsi="Times New Roman" w:cs="Times New Roman"/>
          <w:sz w:val="24"/>
          <w:szCs w:val="24"/>
        </w:rPr>
        <w:t>а обществеността), осигуряване</w:t>
      </w:r>
      <w:r w:rsidRPr="008D624C">
        <w:rPr>
          <w:rFonts w:ascii="Times New Roman" w:eastAsia="Times New Roman" w:hAnsi="Times New Roman" w:cs="Times New Roman"/>
          <w:sz w:val="24"/>
          <w:szCs w:val="24"/>
        </w:rPr>
        <w:t xml:space="preserve"> на редовни преоценки на безопасността на ядрените инсталации и подобряване на готовността за управление на аварии, както и за насърчаване на културата на ядрена безопасност на работното място. Директива 2014/87/Е</w:t>
      </w:r>
      <w:r w:rsidR="00BA738C" w:rsidRPr="008D624C">
        <w:rPr>
          <w:rFonts w:ascii="Times New Roman" w:eastAsia="Times New Roman" w:hAnsi="Times New Roman" w:cs="Times New Roman"/>
          <w:sz w:val="24"/>
          <w:szCs w:val="24"/>
        </w:rPr>
        <w:t>вратомна</w:t>
      </w:r>
      <w:r w:rsidRPr="008D624C">
        <w:rPr>
          <w:rFonts w:ascii="Times New Roman" w:eastAsia="Times New Roman" w:hAnsi="Times New Roman" w:cs="Times New Roman"/>
          <w:sz w:val="24"/>
          <w:szCs w:val="24"/>
        </w:rPr>
        <w:t xml:space="preserve"> С</w:t>
      </w:r>
      <w:r w:rsidR="00BA738C" w:rsidRPr="008D624C">
        <w:rPr>
          <w:rFonts w:ascii="Times New Roman" w:eastAsia="Times New Roman" w:hAnsi="Times New Roman" w:cs="Times New Roman"/>
          <w:sz w:val="24"/>
          <w:szCs w:val="24"/>
        </w:rPr>
        <w:t>ъвета</w:t>
      </w:r>
      <w:r w:rsidRPr="008D624C">
        <w:rPr>
          <w:rFonts w:ascii="Times New Roman" w:eastAsia="Times New Roman" w:hAnsi="Times New Roman" w:cs="Times New Roman"/>
          <w:sz w:val="24"/>
          <w:szCs w:val="24"/>
        </w:rPr>
        <w:t xml:space="preserve"> е транспонирана в националното законодателство чрез Наредбата за осигуряване безопасността на ядрените централи, приета с Постановление № 245 от 21.09.2016 г. </w:t>
      </w:r>
      <w:r w:rsidR="00BA738C">
        <w:rPr>
          <w:rFonts w:ascii="Times New Roman" w:eastAsia="Times New Roman" w:hAnsi="Times New Roman" w:cs="Times New Roman"/>
          <w:sz w:val="24"/>
          <w:szCs w:val="24"/>
        </w:rPr>
        <w:t xml:space="preserve">на </w:t>
      </w:r>
      <w:r w:rsidRPr="008D624C">
        <w:rPr>
          <w:rFonts w:ascii="Times New Roman" w:eastAsia="Times New Roman" w:hAnsi="Times New Roman" w:cs="Times New Roman"/>
          <w:sz w:val="24"/>
          <w:szCs w:val="24"/>
        </w:rPr>
        <w:t>Министерския съвет. С новата Наредба е осигурено съответствие с най-новите изисквания на IAEA, WENRA (Updated</w:t>
      </w:r>
      <w:r w:rsidR="00010DC4">
        <w:rPr>
          <w:rFonts w:ascii="Times New Roman" w:eastAsia="Times New Roman" w:hAnsi="Times New Roman" w:cs="Times New Roman"/>
          <w:sz w:val="24"/>
          <w:szCs w:val="24"/>
        </w:rPr>
        <w:t xml:space="preserve"> </w:t>
      </w:r>
      <w:r w:rsidRPr="008D624C">
        <w:rPr>
          <w:rFonts w:ascii="Times New Roman" w:eastAsia="Times New Roman" w:hAnsi="Times New Roman" w:cs="Times New Roman"/>
          <w:sz w:val="24"/>
          <w:szCs w:val="24"/>
        </w:rPr>
        <w:t>Reference</w:t>
      </w:r>
      <w:r w:rsidR="00010DC4">
        <w:rPr>
          <w:rFonts w:ascii="Times New Roman" w:eastAsia="Times New Roman" w:hAnsi="Times New Roman" w:cs="Times New Roman"/>
          <w:sz w:val="24"/>
          <w:szCs w:val="24"/>
        </w:rPr>
        <w:t xml:space="preserve"> </w:t>
      </w:r>
      <w:r w:rsidRPr="008D624C">
        <w:rPr>
          <w:rFonts w:ascii="Times New Roman" w:eastAsia="Times New Roman" w:hAnsi="Times New Roman" w:cs="Times New Roman"/>
          <w:sz w:val="24"/>
          <w:szCs w:val="24"/>
        </w:rPr>
        <w:t>Levels</w:t>
      </w:r>
      <w:r w:rsidR="00010DC4">
        <w:rPr>
          <w:rFonts w:ascii="Times New Roman" w:eastAsia="Times New Roman" w:hAnsi="Times New Roman" w:cs="Times New Roman"/>
          <w:sz w:val="24"/>
          <w:szCs w:val="24"/>
        </w:rPr>
        <w:t xml:space="preserve"> </w:t>
      </w:r>
      <w:r w:rsidRPr="008D624C">
        <w:rPr>
          <w:rFonts w:ascii="Times New Roman" w:eastAsia="Times New Roman" w:hAnsi="Times New Roman" w:cs="Times New Roman"/>
          <w:sz w:val="24"/>
          <w:szCs w:val="24"/>
        </w:rPr>
        <w:t>for</w:t>
      </w:r>
      <w:r w:rsidR="00010DC4">
        <w:rPr>
          <w:rFonts w:ascii="Times New Roman" w:eastAsia="Times New Roman" w:hAnsi="Times New Roman" w:cs="Times New Roman"/>
          <w:sz w:val="24"/>
          <w:szCs w:val="24"/>
        </w:rPr>
        <w:t xml:space="preserve"> </w:t>
      </w:r>
      <w:r w:rsidRPr="008D624C">
        <w:rPr>
          <w:rFonts w:ascii="Times New Roman" w:eastAsia="Times New Roman" w:hAnsi="Times New Roman" w:cs="Times New Roman"/>
          <w:sz w:val="24"/>
          <w:szCs w:val="24"/>
        </w:rPr>
        <w:t>existing</w:t>
      </w:r>
      <w:r w:rsidR="00010DC4">
        <w:rPr>
          <w:rFonts w:ascii="Times New Roman" w:eastAsia="Times New Roman" w:hAnsi="Times New Roman" w:cs="Times New Roman"/>
          <w:sz w:val="24"/>
          <w:szCs w:val="24"/>
        </w:rPr>
        <w:t xml:space="preserve"> </w:t>
      </w:r>
      <w:r w:rsidRPr="008D624C">
        <w:rPr>
          <w:rFonts w:ascii="Times New Roman" w:eastAsia="Times New Roman" w:hAnsi="Times New Roman" w:cs="Times New Roman"/>
          <w:sz w:val="24"/>
          <w:szCs w:val="24"/>
        </w:rPr>
        <w:t>NPP, WENRA,</w:t>
      </w:r>
      <w:r w:rsidR="00010DC4">
        <w:rPr>
          <w:rFonts w:ascii="Times New Roman" w:eastAsia="Times New Roman" w:hAnsi="Times New Roman" w:cs="Times New Roman"/>
          <w:sz w:val="24"/>
          <w:szCs w:val="24"/>
        </w:rPr>
        <w:t xml:space="preserve"> </w:t>
      </w:r>
      <w:r w:rsidRPr="008D624C">
        <w:rPr>
          <w:rFonts w:ascii="Times New Roman" w:eastAsia="Times New Roman" w:hAnsi="Times New Roman" w:cs="Times New Roman"/>
          <w:sz w:val="24"/>
          <w:szCs w:val="24"/>
        </w:rPr>
        <w:t>2014 г; Safety of New NPP</w:t>
      </w:r>
      <w:r w:rsidR="00010DC4">
        <w:rPr>
          <w:rFonts w:ascii="Times New Roman" w:eastAsia="Times New Roman" w:hAnsi="Times New Roman" w:cs="Times New Roman"/>
          <w:sz w:val="24"/>
          <w:szCs w:val="24"/>
        </w:rPr>
        <w:t xml:space="preserve"> </w:t>
      </w:r>
      <w:r w:rsidRPr="008D624C">
        <w:rPr>
          <w:rFonts w:ascii="Times New Roman" w:eastAsia="Times New Roman" w:hAnsi="Times New Roman" w:cs="Times New Roman"/>
          <w:sz w:val="24"/>
          <w:szCs w:val="24"/>
        </w:rPr>
        <w:t>Designs, Study</w:t>
      </w:r>
      <w:r w:rsidR="00010DC4">
        <w:rPr>
          <w:rFonts w:ascii="Times New Roman" w:eastAsia="Times New Roman" w:hAnsi="Times New Roman" w:cs="Times New Roman"/>
          <w:sz w:val="24"/>
          <w:szCs w:val="24"/>
        </w:rPr>
        <w:t xml:space="preserve"> </w:t>
      </w:r>
      <w:r w:rsidRPr="008D624C">
        <w:rPr>
          <w:rFonts w:ascii="Times New Roman" w:eastAsia="Times New Roman" w:hAnsi="Times New Roman" w:cs="Times New Roman"/>
          <w:sz w:val="24"/>
          <w:szCs w:val="24"/>
        </w:rPr>
        <w:t>by</w:t>
      </w:r>
      <w:r w:rsidR="00010DC4">
        <w:rPr>
          <w:rFonts w:ascii="Times New Roman" w:eastAsia="Times New Roman" w:hAnsi="Times New Roman" w:cs="Times New Roman"/>
          <w:sz w:val="24"/>
          <w:szCs w:val="24"/>
        </w:rPr>
        <w:t xml:space="preserve"> </w:t>
      </w:r>
      <w:r w:rsidRPr="008D624C">
        <w:rPr>
          <w:rFonts w:ascii="Times New Roman" w:eastAsia="Times New Roman" w:hAnsi="Times New Roman" w:cs="Times New Roman"/>
          <w:sz w:val="24"/>
          <w:szCs w:val="24"/>
        </w:rPr>
        <w:t>Reactor</w:t>
      </w:r>
      <w:r w:rsidR="00010DC4">
        <w:rPr>
          <w:rFonts w:ascii="Times New Roman" w:eastAsia="Times New Roman" w:hAnsi="Times New Roman" w:cs="Times New Roman"/>
          <w:sz w:val="24"/>
          <w:szCs w:val="24"/>
        </w:rPr>
        <w:t xml:space="preserve"> </w:t>
      </w:r>
      <w:r w:rsidRPr="008D624C">
        <w:rPr>
          <w:rFonts w:ascii="Times New Roman" w:eastAsia="Times New Roman" w:hAnsi="Times New Roman" w:cs="Times New Roman"/>
          <w:sz w:val="24"/>
          <w:szCs w:val="24"/>
        </w:rPr>
        <w:t>Harmonization</w:t>
      </w:r>
      <w:r w:rsidR="00010DC4">
        <w:rPr>
          <w:rFonts w:ascii="Times New Roman" w:eastAsia="Times New Roman" w:hAnsi="Times New Roman" w:cs="Times New Roman"/>
          <w:sz w:val="24"/>
          <w:szCs w:val="24"/>
        </w:rPr>
        <w:t xml:space="preserve"> </w:t>
      </w:r>
      <w:r w:rsidRPr="008D624C">
        <w:rPr>
          <w:rFonts w:ascii="Times New Roman" w:eastAsia="Times New Roman" w:hAnsi="Times New Roman" w:cs="Times New Roman"/>
          <w:sz w:val="24"/>
          <w:szCs w:val="24"/>
        </w:rPr>
        <w:t>Working Group RHWG, March 2013) и документите на Европейския съюз (Директива 2014/87/ Е</w:t>
      </w:r>
      <w:r w:rsidR="00BA738C" w:rsidRPr="008D624C">
        <w:rPr>
          <w:rFonts w:ascii="Times New Roman" w:eastAsia="Times New Roman" w:hAnsi="Times New Roman" w:cs="Times New Roman"/>
          <w:sz w:val="24"/>
          <w:szCs w:val="24"/>
        </w:rPr>
        <w:t>вратом</w:t>
      </w:r>
      <w:r w:rsidR="00010DC4">
        <w:rPr>
          <w:rFonts w:ascii="Times New Roman" w:eastAsia="Times New Roman" w:hAnsi="Times New Roman" w:cs="Times New Roman"/>
          <w:sz w:val="24"/>
          <w:szCs w:val="24"/>
        </w:rPr>
        <w:t xml:space="preserve"> </w:t>
      </w:r>
      <w:r w:rsidR="00BA738C" w:rsidRPr="008D624C">
        <w:rPr>
          <w:rFonts w:ascii="Times New Roman" w:eastAsia="Times New Roman" w:hAnsi="Times New Roman" w:cs="Times New Roman"/>
          <w:sz w:val="24"/>
          <w:szCs w:val="24"/>
        </w:rPr>
        <w:t xml:space="preserve">на </w:t>
      </w:r>
      <w:r w:rsidRPr="008D624C">
        <w:rPr>
          <w:rFonts w:ascii="Times New Roman" w:eastAsia="Times New Roman" w:hAnsi="Times New Roman" w:cs="Times New Roman"/>
          <w:sz w:val="24"/>
          <w:szCs w:val="24"/>
        </w:rPr>
        <w:t>С</w:t>
      </w:r>
      <w:r w:rsidR="00BA738C" w:rsidRPr="008D624C">
        <w:rPr>
          <w:rFonts w:ascii="Times New Roman" w:eastAsia="Times New Roman" w:hAnsi="Times New Roman" w:cs="Times New Roman"/>
          <w:sz w:val="24"/>
          <w:szCs w:val="24"/>
        </w:rPr>
        <w:t>ъвета</w:t>
      </w:r>
      <w:r w:rsidRPr="008D624C">
        <w:rPr>
          <w:rFonts w:ascii="Times New Roman" w:eastAsia="Times New Roman" w:hAnsi="Times New Roman" w:cs="Times New Roman"/>
          <w:sz w:val="24"/>
          <w:szCs w:val="24"/>
        </w:rPr>
        <w:t xml:space="preserve"> от </w:t>
      </w:r>
      <w:r w:rsidR="00BA738C">
        <w:rPr>
          <w:rFonts w:ascii="Times New Roman" w:eastAsia="Times New Roman" w:hAnsi="Times New Roman" w:cs="Times New Roman"/>
          <w:sz w:val="24"/>
          <w:szCs w:val="24"/>
        </w:rPr>
        <w:t>0</w:t>
      </w:r>
      <w:r w:rsidRPr="008D624C">
        <w:rPr>
          <w:rFonts w:ascii="Times New Roman" w:eastAsia="Times New Roman" w:hAnsi="Times New Roman" w:cs="Times New Roman"/>
          <w:sz w:val="24"/>
          <w:szCs w:val="24"/>
        </w:rPr>
        <w:t>8</w:t>
      </w:r>
      <w:r w:rsidR="00BA738C">
        <w:rPr>
          <w:rFonts w:ascii="Times New Roman" w:eastAsia="Times New Roman" w:hAnsi="Times New Roman" w:cs="Times New Roman"/>
          <w:sz w:val="24"/>
          <w:szCs w:val="24"/>
        </w:rPr>
        <w:t>.07.</w:t>
      </w:r>
      <w:r w:rsidRPr="008D624C">
        <w:rPr>
          <w:rFonts w:ascii="Times New Roman" w:eastAsia="Times New Roman" w:hAnsi="Times New Roman" w:cs="Times New Roman"/>
          <w:sz w:val="24"/>
          <w:szCs w:val="24"/>
        </w:rPr>
        <w:t>2014 г</w:t>
      </w:r>
      <w:r w:rsidR="00BA738C">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в областта на безопасността на ядрените централи.</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Документът предвижда повишаване на ролята на ре</w:t>
      </w:r>
      <w:r w:rsidR="0088240C">
        <w:rPr>
          <w:rFonts w:ascii="Times New Roman" w:eastAsia="Times New Roman" w:hAnsi="Times New Roman" w:cs="Times New Roman"/>
          <w:sz w:val="24"/>
          <w:szCs w:val="24"/>
        </w:rPr>
        <w:t>гулаторния орган.У</w:t>
      </w:r>
      <w:r w:rsidR="00BA738C">
        <w:rPr>
          <w:rFonts w:ascii="Times New Roman" w:eastAsia="Times New Roman" w:hAnsi="Times New Roman" w:cs="Times New Roman"/>
          <w:sz w:val="24"/>
          <w:szCs w:val="24"/>
        </w:rPr>
        <w:t>становяване</w:t>
      </w:r>
      <w:r w:rsidR="0088240C">
        <w:rPr>
          <w:rFonts w:ascii="Times New Roman" w:eastAsia="Times New Roman" w:hAnsi="Times New Roman" w:cs="Times New Roman"/>
          <w:sz w:val="24"/>
          <w:szCs w:val="24"/>
        </w:rPr>
        <w:t>то</w:t>
      </w:r>
      <w:r w:rsidRPr="008D624C">
        <w:rPr>
          <w:rFonts w:ascii="Times New Roman" w:eastAsia="Times New Roman" w:hAnsi="Times New Roman" w:cs="Times New Roman"/>
          <w:sz w:val="24"/>
          <w:szCs w:val="24"/>
        </w:rPr>
        <w:t xml:space="preserve"> на система за па</w:t>
      </w:r>
      <w:r w:rsidR="00BA738C">
        <w:rPr>
          <w:rFonts w:ascii="Times New Roman" w:eastAsia="Times New Roman" w:hAnsi="Times New Roman" w:cs="Times New Roman"/>
          <w:sz w:val="24"/>
          <w:szCs w:val="24"/>
        </w:rPr>
        <w:t>ртньорски проверки, периодични</w:t>
      </w:r>
      <w:r w:rsidR="0088240C">
        <w:rPr>
          <w:rFonts w:ascii="Times New Roman" w:eastAsia="Times New Roman" w:hAnsi="Times New Roman" w:cs="Times New Roman"/>
          <w:sz w:val="24"/>
          <w:szCs w:val="24"/>
        </w:rPr>
        <w:t>те</w:t>
      </w:r>
      <w:r w:rsidR="00BA738C">
        <w:rPr>
          <w:rFonts w:ascii="Times New Roman" w:eastAsia="Times New Roman" w:hAnsi="Times New Roman" w:cs="Times New Roman"/>
          <w:sz w:val="24"/>
          <w:szCs w:val="24"/>
        </w:rPr>
        <w:t xml:space="preserve"> самооценки и насърчаване</w:t>
      </w:r>
      <w:r w:rsidR="0088240C">
        <w:rPr>
          <w:rFonts w:ascii="Times New Roman" w:eastAsia="Times New Roman" w:hAnsi="Times New Roman" w:cs="Times New Roman"/>
          <w:sz w:val="24"/>
          <w:szCs w:val="24"/>
        </w:rPr>
        <w:t>то</w:t>
      </w:r>
      <w:r w:rsidRPr="008D624C">
        <w:rPr>
          <w:rFonts w:ascii="Times New Roman" w:eastAsia="Times New Roman" w:hAnsi="Times New Roman" w:cs="Times New Roman"/>
          <w:sz w:val="24"/>
          <w:szCs w:val="24"/>
        </w:rPr>
        <w:t xml:space="preserve"> на културата за безопасност са важни и съществени промени в Директивата за ядрена безопасност, но те нямат директно отношение към решението за изграждане на нова ядрена мощност.</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Без съмнение, ключов момент в новата Директива е новата цел за безопасност и начин</w:t>
      </w:r>
      <w:r w:rsidR="0088240C">
        <w:rPr>
          <w:rFonts w:ascii="Times New Roman" w:eastAsia="Times New Roman" w:hAnsi="Times New Roman" w:cs="Times New Roman"/>
          <w:sz w:val="24"/>
          <w:szCs w:val="24"/>
        </w:rPr>
        <w:t>ът</w:t>
      </w:r>
      <w:r w:rsidRPr="008D624C">
        <w:rPr>
          <w:rFonts w:ascii="Times New Roman" w:eastAsia="Times New Roman" w:hAnsi="Times New Roman" w:cs="Times New Roman"/>
          <w:sz w:val="24"/>
          <w:szCs w:val="24"/>
        </w:rPr>
        <w:t>, по който тази цел е постигната с проекта на нова АЕЦ. В съответствие с Чл</w:t>
      </w:r>
      <w:r w:rsidR="0088240C">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8(а) тази цел </w:t>
      </w:r>
      <w:r w:rsidR="0088240C">
        <w:rPr>
          <w:rFonts w:ascii="Times New Roman" w:eastAsia="Times New Roman" w:hAnsi="Times New Roman" w:cs="Times New Roman"/>
          <w:sz w:val="24"/>
          <w:szCs w:val="24"/>
        </w:rPr>
        <w:t>тряб</w:t>
      </w:r>
      <w:r w:rsidRPr="008D624C">
        <w:rPr>
          <w:rFonts w:ascii="Times New Roman" w:eastAsia="Times New Roman" w:hAnsi="Times New Roman" w:cs="Times New Roman"/>
          <w:sz w:val="24"/>
          <w:szCs w:val="24"/>
        </w:rPr>
        <w:t>ва да се прилага за ядрени инсталации, чиято лицензия (разрешение) за строителство е издадена за първи път след 14</w:t>
      </w:r>
      <w:r w:rsidR="0088240C">
        <w:rPr>
          <w:rFonts w:ascii="Times New Roman" w:eastAsia="Times New Roman" w:hAnsi="Times New Roman" w:cs="Times New Roman"/>
          <w:sz w:val="24"/>
          <w:szCs w:val="24"/>
        </w:rPr>
        <w:t>.08.</w:t>
      </w:r>
      <w:r w:rsidRPr="008D624C">
        <w:rPr>
          <w:rFonts w:ascii="Times New Roman" w:eastAsia="Times New Roman" w:hAnsi="Times New Roman" w:cs="Times New Roman"/>
          <w:sz w:val="24"/>
          <w:szCs w:val="24"/>
        </w:rPr>
        <w:t>2014 г. В конкретния случай това означава, че новата ядрена мощност в България трябва да отговаря на целта по безопасност, поставена в Директива 2014/87/.</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Въпросът за новата цел по безопасност ще бъде основен в дискусиите с Европейската комисия в случай, че се наложи нова нотификация по чл. 41-44 от Евратом.</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Предотвратяването на аварии и избягването на значителни радиоактивни изхвърляния, което е в основата на новата цел за безопасност, са били обект на оценка (видно от интернет страницата на АЯР) по време на извършения преглед на техническия проект. Тези въпроси са обсъдени и в Доклада за допълнителна оценка на безопасността „стрес тестове“ за АЕЦ </w:t>
      </w:r>
      <w:r w:rsidR="00F448BC">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Белене</w:t>
      </w:r>
      <w:r w:rsidR="00F448BC">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и в доклада от експертната мисия на IAEA в края на 2011 г.</w:t>
      </w:r>
    </w:p>
    <w:p w:rsid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Независимо от извършените експертизи и оценки на техническия проект на АЕЦ </w:t>
      </w:r>
      <w:r w:rsidR="00F448BC">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Белене</w:t>
      </w:r>
      <w:r w:rsidR="00F448BC">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извършени в периода 2008-2012 г., евентуално възобновяване на дейностите по този проект ще изисква допълнителна оценка за съответствие на проекта с Наредбата за осигуряване на безопасността на ядрените централи, приета с ПМС № 245 от 21.09.2016 г. Крайното решение по този въпрос е от компетенциите на Агенцията за ядрено регулиране.</w:t>
      </w:r>
    </w:p>
    <w:p w:rsidR="008D624C" w:rsidRPr="008D624C" w:rsidRDefault="008D624C" w:rsidP="002A32DA">
      <w:pPr>
        <w:pStyle w:val="Heading3"/>
        <w:numPr>
          <w:ilvl w:val="2"/>
          <w:numId w:val="8"/>
        </w:numPr>
        <w:spacing w:before="120" w:after="120" w:line="240" w:lineRule="auto"/>
        <w:ind w:left="567" w:hanging="567"/>
        <w:jc w:val="both"/>
        <w:rPr>
          <w:rFonts w:ascii="Times New Roman" w:hAnsi="Times New Roman" w:cs="Times New Roman"/>
          <w:b w:val="0"/>
          <w:color w:val="auto"/>
          <w:sz w:val="24"/>
          <w:szCs w:val="24"/>
          <w:u w:val="single"/>
        </w:rPr>
      </w:pPr>
      <w:bookmarkStart w:id="39" w:name="_Toc491680786"/>
      <w:bookmarkStart w:id="40" w:name="_Toc492991248"/>
      <w:bookmarkStart w:id="41" w:name="_Toc492991308"/>
      <w:bookmarkStart w:id="42" w:name="_Toc492991331"/>
      <w:r w:rsidRPr="008D624C">
        <w:rPr>
          <w:rFonts w:ascii="Times New Roman" w:hAnsi="Times New Roman" w:cs="Times New Roman"/>
          <w:b w:val="0"/>
          <w:color w:val="auto"/>
          <w:sz w:val="24"/>
          <w:szCs w:val="24"/>
          <w:u w:val="single"/>
        </w:rPr>
        <w:lastRenderedPageBreak/>
        <w:t>Отговорност за ядрена вреда</w:t>
      </w:r>
      <w:bookmarkEnd w:id="39"/>
      <w:bookmarkEnd w:id="40"/>
      <w:bookmarkEnd w:id="41"/>
      <w:bookmarkEnd w:id="42"/>
    </w:p>
    <w:p w:rsidR="00345D92" w:rsidRDefault="00345D92" w:rsidP="00E44C19">
      <w:pPr>
        <w:spacing w:before="120" w:after="120" w:line="240" w:lineRule="auto"/>
        <w:jc w:val="both"/>
        <w:rPr>
          <w:rFonts w:ascii="Times New Roman" w:eastAsia="Times New Roman" w:hAnsi="Times New Roman" w:cs="Times New Roman"/>
          <w:sz w:val="24"/>
          <w:szCs w:val="24"/>
        </w:rPr>
      </w:pPr>
      <w:r w:rsidRPr="00345D92">
        <w:rPr>
          <w:rFonts w:ascii="Times New Roman" w:eastAsia="Times New Roman" w:hAnsi="Times New Roman" w:cs="Times New Roman"/>
          <w:sz w:val="24"/>
          <w:szCs w:val="24"/>
        </w:rPr>
        <w:t xml:space="preserve">Виенската конвенция за гражданска отговорност за ядрена вреда, ратифицирана със закон от Народното събрание, приет на 27.07.1994 г., е основният документ, който регламентира задълженията на и отговорностите при възникване на подобно събитие по отношение на страните, които </w:t>
      </w:r>
      <w:r>
        <w:rPr>
          <w:rFonts w:ascii="Times New Roman" w:eastAsia="Times New Roman" w:hAnsi="Times New Roman" w:cs="Times New Roman"/>
          <w:sz w:val="24"/>
          <w:szCs w:val="24"/>
        </w:rPr>
        <w:t xml:space="preserve">са </w:t>
      </w:r>
      <w:r w:rsidRPr="00345D92">
        <w:rPr>
          <w:rFonts w:ascii="Times New Roman" w:eastAsia="Times New Roman" w:hAnsi="Times New Roman" w:cs="Times New Roman"/>
          <w:sz w:val="24"/>
          <w:szCs w:val="24"/>
        </w:rPr>
        <w:t>я ратифицирали (в т.ч. Репуб</w:t>
      </w:r>
      <w:r w:rsidR="00AB7469">
        <w:rPr>
          <w:rFonts w:ascii="Times New Roman" w:eastAsia="Times New Roman" w:hAnsi="Times New Roman" w:cs="Times New Roman"/>
          <w:sz w:val="24"/>
          <w:szCs w:val="24"/>
        </w:rPr>
        <w:t>л</w:t>
      </w:r>
      <w:r w:rsidRPr="00345D92">
        <w:rPr>
          <w:rFonts w:ascii="Times New Roman" w:eastAsia="Times New Roman" w:hAnsi="Times New Roman" w:cs="Times New Roman"/>
          <w:sz w:val="24"/>
          <w:szCs w:val="24"/>
        </w:rPr>
        <w:t>ика Бълга</w:t>
      </w:r>
      <w:r w:rsidR="00010DC4">
        <w:rPr>
          <w:rFonts w:ascii="Times New Roman" w:eastAsia="Times New Roman" w:hAnsi="Times New Roman" w:cs="Times New Roman"/>
          <w:sz w:val="24"/>
          <w:szCs w:val="24"/>
        </w:rPr>
        <w:t>рия). Дванадесет от държавите-</w:t>
      </w:r>
      <w:r w:rsidRPr="00345D92">
        <w:rPr>
          <w:rFonts w:ascii="Times New Roman" w:eastAsia="Times New Roman" w:hAnsi="Times New Roman" w:cs="Times New Roman"/>
          <w:sz w:val="24"/>
          <w:szCs w:val="24"/>
        </w:rPr>
        <w:t>членки на Съюза, а именно Белгия, Германия, Гърция, Испания, Франция, Италия, Нидерландия, Португалия, Словения, Финландия, Швеция и Обединеното кралство са договарящи се страни по Парижката конвенция от 29 юли 1960 г. за отговорността на трети страни в областта на ядрената енергетика, изменена с Допълнителния протокол от</w:t>
      </w:r>
      <w:r>
        <w:rPr>
          <w:rFonts w:ascii="Times New Roman" w:eastAsia="Times New Roman" w:hAnsi="Times New Roman" w:cs="Times New Roman"/>
          <w:sz w:val="24"/>
          <w:szCs w:val="24"/>
        </w:rPr>
        <w:t xml:space="preserve"> 28 януари 1964 г. и с Протокол</w:t>
      </w:r>
      <w:r w:rsidRPr="00345D92">
        <w:rPr>
          <w:rFonts w:ascii="Times New Roman" w:eastAsia="Times New Roman" w:hAnsi="Times New Roman" w:cs="Times New Roman"/>
          <w:sz w:val="24"/>
          <w:szCs w:val="24"/>
        </w:rPr>
        <w:t xml:space="preserve"> от 16 ноември 1982 г.</w:t>
      </w:r>
    </w:p>
    <w:p w:rsidR="008D624C" w:rsidRDefault="00345D92" w:rsidP="00E44C19">
      <w:pPr>
        <w:spacing w:before="120" w:after="120" w:line="240" w:lineRule="auto"/>
        <w:jc w:val="both"/>
        <w:rPr>
          <w:rFonts w:ascii="Times New Roman" w:eastAsia="Times New Roman" w:hAnsi="Times New Roman" w:cs="Times New Roman"/>
          <w:sz w:val="24"/>
          <w:szCs w:val="24"/>
        </w:rPr>
      </w:pPr>
      <w:r w:rsidRPr="00345D92">
        <w:rPr>
          <w:rFonts w:ascii="Times New Roman" w:eastAsia="Times New Roman" w:hAnsi="Times New Roman" w:cs="Times New Roman"/>
          <w:sz w:val="24"/>
          <w:szCs w:val="24"/>
        </w:rPr>
        <w:t>Парижката конвенция въвежда режим за обезщетение на пострадалите от вреди, причинени от ядрени аварии, основан на принципи, сходни с тези на Виенската конвенция. Протоколът от 12 февруари 2004 г. за изменение на Парижката конвенция осигурява по-добро обезщетение за вреди, причинени от ядрени аварии. Съ</w:t>
      </w:r>
      <w:r>
        <w:rPr>
          <w:rFonts w:ascii="Times New Roman" w:eastAsia="Times New Roman" w:hAnsi="Times New Roman" w:cs="Times New Roman"/>
          <w:sz w:val="24"/>
          <w:szCs w:val="24"/>
        </w:rPr>
        <w:t>гласно нейните разпоредби, е</w:t>
      </w:r>
      <w:r w:rsidRPr="00345D92">
        <w:rPr>
          <w:rFonts w:ascii="Times New Roman" w:eastAsia="Times New Roman" w:hAnsi="Times New Roman" w:cs="Times New Roman"/>
          <w:sz w:val="24"/>
          <w:szCs w:val="24"/>
        </w:rPr>
        <w:t>ксплоатиращият ядрената инсталация е отговорен за ядрена вреда, за която се докаже, че е била причинена от ядрена авария в неговата ядрена инсталация; или свързана с ядрен материал, идващ от или произведен в неговата ядрена инсталация. Отговорността на експлоатиращия е абсолютна. Тя може да бъде ограничена от държавата, в която се намира инсталацията, до сума, не по-малка от 5 млн. щатски долара за всяка една ядрена авария. Експлоатиращият е задължен да поддържа застраховка или друга финансова гаранция, покриваща неговата отговорност за ядрена вреда. Държавата, в която се намира инсталацията, от своя страна осигурява изплащането на уважени искове за обезщетение за ядрена вреда срещу експлоатиращия, като осигурява необходимите средства в такъв размер, в какъвто размерът на застраховката или друга финансова гаранция е недостатъчен за обезщетяване на такива искове, но не повече от максималния размер на отговорността, ако такъв е определен.</w:t>
      </w:r>
      <w:r w:rsidR="008D624C" w:rsidRPr="008D624C">
        <w:rPr>
          <w:rFonts w:ascii="Times New Roman" w:eastAsia="Times New Roman" w:hAnsi="Times New Roman" w:cs="Times New Roman"/>
          <w:sz w:val="24"/>
          <w:szCs w:val="24"/>
        </w:rPr>
        <w:t>ЗБИЯЕ препраща към разпоредбите на Виенската конвенция за гражданска отговорност за ядрена вреда. Министерският съвет определя лицето, което по смисъла на Виенската конвенция е експлоатиращ ядрената инсталация, и вида и условията на финансовата гаранция, покриваща отговорността за ядрена вреда на експлоатиращия (Чл. 129). Отговорността на експлоатиращия за вреда, причинена от всяка ядрена авария</w:t>
      </w:r>
      <w:r w:rsidR="00E24B56">
        <w:rPr>
          <w:rFonts w:ascii="Times New Roman" w:eastAsia="Times New Roman" w:hAnsi="Times New Roman" w:cs="Times New Roman"/>
          <w:sz w:val="24"/>
          <w:szCs w:val="24"/>
        </w:rPr>
        <w:t>,</w:t>
      </w:r>
      <w:r w:rsidR="008D624C" w:rsidRPr="008D624C">
        <w:rPr>
          <w:rFonts w:ascii="Times New Roman" w:eastAsia="Times New Roman" w:hAnsi="Times New Roman" w:cs="Times New Roman"/>
          <w:sz w:val="24"/>
          <w:szCs w:val="24"/>
        </w:rPr>
        <w:t xml:space="preserve"> е ограни</w:t>
      </w:r>
      <w:r w:rsidR="00010DC4">
        <w:rPr>
          <w:rFonts w:ascii="Times New Roman" w:eastAsia="Times New Roman" w:hAnsi="Times New Roman" w:cs="Times New Roman"/>
          <w:sz w:val="24"/>
          <w:szCs w:val="24"/>
        </w:rPr>
        <w:t>ч</w:t>
      </w:r>
      <w:r w:rsidR="008D624C" w:rsidRPr="008D624C">
        <w:rPr>
          <w:rFonts w:ascii="Times New Roman" w:eastAsia="Times New Roman" w:hAnsi="Times New Roman" w:cs="Times New Roman"/>
          <w:sz w:val="24"/>
          <w:szCs w:val="24"/>
        </w:rPr>
        <w:t xml:space="preserve">ена до 96 млн. лв., като експлоатиращият е длъжен да поддържа застраховка или друга финансова гаранция за периода на експлоатация на ядрената инсталация на тази стойност. Чл. 133 от ЗБИЯЕ въвежда и задължението за държавата да изплаща уважени искове срещу експлоатиращия за обезщетяване на ядрена вреда, когато застраховката е недостатъчна, до размера на границите на отговорността. Държавата е задължена </w:t>
      </w:r>
      <w:r w:rsidR="00E24B56">
        <w:rPr>
          <w:rFonts w:ascii="Times New Roman" w:eastAsia="Times New Roman" w:hAnsi="Times New Roman" w:cs="Times New Roman"/>
          <w:sz w:val="24"/>
          <w:szCs w:val="24"/>
        </w:rPr>
        <w:t xml:space="preserve">и </w:t>
      </w:r>
      <w:r w:rsidR="008D624C" w:rsidRPr="008D624C">
        <w:rPr>
          <w:rFonts w:ascii="Times New Roman" w:eastAsia="Times New Roman" w:hAnsi="Times New Roman" w:cs="Times New Roman"/>
          <w:sz w:val="24"/>
          <w:szCs w:val="24"/>
        </w:rPr>
        <w:t>да обезщетява за вреда, която се дължи на ядрена авария, пряко причинена от тежко природно бедствие от изключителен характер, до границата на отговорността, посочена по-горе.</w:t>
      </w:r>
    </w:p>
    <w:p w:rsidR="00345D92" w:rsidRPr="00345D92" w:rsidRDefault="00345D92" w:rsidP="001B6832">
      <w:pPr>
        <w:spacing w:before="120" w:after="120" w:line="240" w:lineRule="auto"/>
        <w:jc w:val="both"/>
        <w:rPr>
          <w:rFonts w:ascii="Times New Roman" w:hAnsi="Times New Roman" w:cs="Times New Roman"/>
          <w:sz w:val="24"/>
          <w:szCs w:val="24"/>
        </w:rPr>
      </w:pPr>
      <w:r w:rsidRPr="00345D92">
        <w:rPr>
          <w:rFonts w:ascii="Times New Roman" w:hAnsi="Times New Roman" w:cs="Times New Roman"/>
          <w:sz w:val="24"/>
          <w:szCs w:val="24"/>
        </w:rPr>
        <w:t xml:space="preserve">Предвидените в националния закон лимити са едни от най-ниските в Европа, тъй като страната не е ратифицирала и не е въвела актуалните документи, регламентиращи тази материя. През 1997 г. е </w:t>
      </w:r>
      <w:r w:rsidRPr="001B6832">
        <w:rPr>
          <w:rFonts w:ascii="Times New Roman" w:eastAsia="Times New Roman" w:hAnsi="Times New Roman" w:cs="Times New Roman"/>
          <w:sz w:val="24"/>
          <w:szCs w:val="24"/>
        </w:rPr>
        <w:t>прието</w:t>
      </w:r>
      <w:r w:rsidRPr="00345D92">
        <w:rPr>
          <w:rFonts w:ascii="Times New Roman" w:hAnsi="Times New Roman" w:cs="Times New Roman"/>
          <w:sz w:val="24"/>
          <w:szCs w:val="24"/>
        </w:rPr>
        <w:t xml:space="preserve"> изменение на Виенската конвенция, което Р България не е ратифицирала </w:t>
      </w:r>
      <w:r w:rsidR="004464CF">
        <w:rPr>
          <w:rFonts w:ascii="Times New Roman" w:hAnsi="Times New Roman" w:cs="Times New Roman"/>
          <w:sz w:val="24"/>
          <w:szCs w:val="24"/>
        </w:rPr>
        <w:t>–</w:t>
      </w:r>
      <w:r w:rsidRPr="00345D92">
        <w:rPr>
          <w:rFonts w:ascii="Times New Roman" w:hAnsi="Times New Roman" w:cs="Times New Roman"/>
          <w:sz w:val="24"/>
          <w:szCs w:val="24"/>
        </w:rPr>
        <w:t xml:space="preserve"> Протокол от 12 септември 1997 г. за изменение на Виенската конвенция от 21 май 1963 г. за гражданска отговорност за ядрена вреда. Той е договорен с оглед осигуряване на по-добро обезщетение на пострадалите от вреди, причинени от ядрени аварии, чрез разширяване на териториалното покритие, видовете вреда, както и финансовите граници на отговорността.</w:t>
      </w:r>
    </w:p>
    <w:p w:rsidR="00345D92" w:rsidRPr="001B6832" w:rsidRDefault="00345D92" w:rsidP="001B6832">
      <w:pPr>
        <w:spacing w:before="120" w:after="120" w:line="240" w:lineRule="auto"/>
        <w:jc w:val="both"/>
        <w:rPr>
          <w:rFonts w:ascii="Times New Roman" w:eastAsia="Times New Roman" w:hAnsi="Times New Roman" w:cs="Times New Roman"/>
          <w:sz w:val="24"/>
          <w:szCs w:val="24"/>
        </w:rPr>
      </w:pPr>
      <w:r w:rsidRPr="00345D92">
        <w:rPr>
          <w:rFonts w:ascii="Times New Roman" w:hAnsi="Times New Roman" w:cs="Times New Roman"/>
          <w:sz w:val="24"/>
          <w:szCs w:val="24"/>
        </w:rPr>
        <w:t>Със свое Решение 2013/434/ЕС от 15 юли 2013 г</w:t>
      </w:r>
      <w:r w:rsidR="00010DC4">
        <w:rPr>
          <w:rFonts w:ascii="Times New Roman" w:hAnsi="Times New Roman" w:cs="Times New Roman"/>
          <w:sz w:val="24"/>
          <w:szCs w:val="24"/>
        </w:rPr>
        <w:t>.</w:t>
      </w:r>
      <w:r w:rsidRPr="00345D92">
        <w:rPr>
          <w:rFonts w:ascii="Times New Roman" w:hAnsi="Times New Roman" w:cs="Times New Roman"/>
          <w:sz w:val="24"/>
          <w:szCs w:val="24"/>
        </w:rPr>
        <w:t xml:space="preserve"> Съветът упълномощава някои държави членки (в т.ч. Р България) да ратифицират или да се присъединят в интерес на </w:t>
      </w:r>
      <w:r w:rsidRPr="00345D92">
        <w:rPr>
          <w:rFonts w:ascii="Times New Roman" w:hAnsi="Times New Roman" w:cs="Times New Roman"/>
          <w:sz w:val="24"/>
          <w:szCs w:val="24"/>
        </w:rPr>
        <w:lastRenderedPageBreak/>
        <w:t xml:space="preserve">Европейския съюз към Протокола за изменение на Виенската конвенция за гражданска отговорност за </w:t>
      </w:r>
      <w:r w:rsidRPr="001B6832">
        <w:rPr>
          <w:rFonts w:ascii="Times New Roman" w:eastAsia="Times New Roman" w:hAnsi="Times New Roman" w:cs="Times New Roman"/>
          <w:sz w:val="24"/>
          <w:szCs w:val="24"/>
        </w:rPr>
        <w:t xml:space="preserve">ядрена вреда от 21 май 1963 г. и да приемат декларация относно прилагането на съответните вътрешни правила от правото на Съюза. </w:t>
      </w:r>
    </w:p>
    <w:p w:rsidR="00345D92" w:rsidRPr="00345D92" w:rsidRDefault="00345D92" w:rsidP="001B6832">
      <w:pPr>
        <w:spacing w:before="120" w:after="120" w:line="240" w:lineRule="auto"/>
        <w:jc w:val="both"/>
        <w:rPr>
          <w:rFonts w:ascii="Times New Roman" w:hAnsi="Times New Roman" w:cs="Times New Roman"/>
          <w:sz w:val="24"/>
          <w:szCs w:val="24"/>
        </w:rPr>
      </w:pPr>
      <w:r w:rsidRPr="001B6832">
        <w:rPr>
          <w:rFonts w:ascii="Times New Roman" w:eastAsia="Times New Roman" w:hAnsi="Times New Roman" w:cs="Times New Roman"/>
          <w:sz w:val="24"/>
          <w:szCs w:val="24"/>
        </w:rPr>
        <w:t>Основното изменение, въведено с Протокола от 1997 г., касае член V от Виенската конвенция от 1963 г., като променя лимита по отношение на размера на отговорността на експлоатиращия. Отговорността</w:t>
      </w:r>
      <w:r w:rsidRPr="00345D92">
        <w:rPr>
          <w:rFonts w:ascii="Times New Roman" w:hAnsi="Times New Roman" w:cs="Times New Roman"/>
          <w:sz w:val="24"/>
          <w:szCs w:val="24"/>
        </w:rPr>
        <w:t xml:space="preserve"> на експлоатиращия може да бъде ограничена от държавата, в която се намира инсталацията, за всяка една ядрена авария: до сума не по-малка от 300 млн</w:t>
      </w:r>
      <w:r w:rsidR="004464CF">
        <w:rPr>
          <w:rFonts w:ascii="Times New Roman" w:hAnsi="Times New Roman" w:cs="Times New Roman"/>
          <w:sz w:val="24"/>
          <w:szCs w:val="24"/>
        </w:rPr>
        <w:t>.</w:t>
      </w:r>
      <w:r w:rsidRPr="00345D92">
        <w:rPr>
          <w:rFonts w:ascii="Times New Roman" w:hAnsi="Times New Roman" w:cs="Times New Roman"/>
          <w:sz w:val="24"/>
          <w:szCs w:val="24"/>
        </w:rPr>
        <w:t xml:space="preserve"> специални права на тираж (СПТ) (приблизително еквивалентни на 400 млн</w:t>
      </w:r>
      <w:r w:rsidR="004464CF">
        <w:rPr>
          <w:rFonts w:ascii="Times New Roman" w:hAnsi="Times New Roman" w:cs="Times New Roman"/>
          <w:sz w:val="24"/>
          <w:szCs w:val="24"/>
        </w:rPr>
        <w:t>.</w:t>
      </w:r>
      <w:r w:rsidRPr="00345D92">
        <w:rPr>
          <w:rFonts w:ascii="Times New Roman" w:hAnsi="Times New Roman" w:cs="Times New Roman"/>
          <w:sz w:val="24"/>
          <w:szCs w:val="24"/>
        </w:rPr>
        <w:t xml:space="preserve"> щатски дол</w:t>
      </w:r>
      <w:r w:rsidR="004464CF">
        <w:rPr>
          <w:rFonts w:ascii="Times New Roman" w:hAnsi="Times New Roman" w:cs="Times New Roman"/>
          <w:sz w:val="24"/>
          <w:szCs w:val="24"/>
        </w:rPr>
        <w:t>.</w:t>
      </w:r>
      <w:r w:rsidRPr="00345D92">
        <w:rPr>
          <w:rFonts w:ascii="Times New Roman" w:hAnsi="Times New Roman" w:cs="Times New Roman"/>
          <w:sz w:val="24"/>
          <w:szCs w:val="24"/>
        </w:rPr>
        <w:t>); или до сума не по-малка от 150 млн</w:t>
      </w:r>
      <w:r w:rsidR="004464CF">
        <w:rPr>
          <w:rFonts w:ascii="Times New Roman" w:hAnsi="Times New Roman" w:cs="Times New Roman"/>
          <w:sz w:val="24"/>
          <w:szCs w:val="24"/>
        </w:rPr>
        <w:t>.</w:t>
      </w:r>
      <w:r w:rsidRPr="00345D92">
        <w:rPr>
          <w:rFonts w:ascii="Times New Roman" w:hAnsi="Times New Roman" w:cs="Times New Roman"/>
          <w:sz w:val="24"/>
          <w:szCs w:val="24"/>
        </w:rPr>
        <w:t xml:space="preserve"> СПТ, при условие че тази държава предоставя в допълнение като обезщетение за ядрена вреда публични средства до най-малко 300 мл</w:t>
      </w:r>
      <w:r w:rsidR="004464CF">
        <w:rPr>
          <w:rFonts w:ascii="Times New Roman" w:hAnsi="Times New Roman" w:cs="Times New Roman"/>
          <w:sz w:val="24"/>
          <w:szCs w:val="24"/>
        </w:rPr>
        <w:t>н.</w:t>
      </w:r>
      <w:r w:rsidRPr="00345D92">
        <w:rPr>
          <w:rFonts w:ascii="Times New Roman" w:hAnsi="Times New Roman" w:cs="Times New Roman"/>
          <w:sz w:val="24"/>
          <w:szCs w:val="24"/>
        </w:rPr>
        <w:t xml:space="preserve"> СПТ; или за максимален срок от 15 години, считано от датата на влизане в сила на протокола, като преходният размер не може да бъде по-малък от 100 </w:t>
      </w:r>
      <w:r w:rsidR="004464CF" w:rsidRPr="00345D92">
        <w:rPr>
          <w:rFonts w:ascii="Times New Roman" w:hAnsi="Times New Roman" w:cs="Times New Roman"/>
          <w:sz w:val="24"/>
          <w:szCs w:val="24"/>
        </w:rPr>
        <w:t>мл</w:t>
      </w:r>
      <w:r w:rsidR="004464CF">
        <w:rPr>
          <w:rFonts w:ascii="Times New Roman" w:hAnsi="Times New Roman" w:cs="Times New Roman"/>
          <w:sz w:val="24"/>
          <w:szCs w:val="24"/>
        </w:rPr>
        <w:t>н.</w:t>
      </w:r>
      <w:r w:rsidRPr="00345D92">
        <w:rPr>
          <w:rFonts w:ascii="Times New Roman" w:hAnsi="Times New Roman" w:cs="Times New Roman"/>
          <w:sz w:val="24"/>
          <w:szCs w:val="24"/>
        </w:rPr>
        <w:t xml:space="preserve"> СПТ по отношение на ядрена авария, възникнала в рамките на този срок. Възможно е да се предвиди сума, по-ниска от 100 </w:t>
      </w:r>
      <w:r w:rsidR="004464CF" w:rsidRPr="00345D92">
        <w:rPr>
          <w:rFonts w:ascii="Times New Roman" w:hAnsi="Times New Roman" w:cs="Times New Roman"/>
          <w:sz w:val="24"/>
          <w:szCs w:val="24"/>
        </w:rPr>
        <w:t>мл</w:t>
      </w:r>
      <w:r w:rsidR="004464CF">
        <w:rPr>
          <w:rFonts w:ascii="Times New Roman" w:hAnsi="Times New Roman" w:cs="Times New Roman"/>
          <w:sz w:val="24"/>
          <w:szCs w:val="24"/>
        </w:rPr>
        <w:t>н.</w:t>
      </w:r>
      <w:r w:rsidRPr="00345D92">
        <w:rPr>
          <w:rFonts w:ascii="Times New Roman" w:hAnsi="Times New Roman" w:cs="Times New Roman"/>
          <w:sz w:val="24"/>
          <w:szCs w:val="24"/>
        </w:rPr>
        <w:t xml:space="preserve"> СПТ, при условие че тази държава предоставя публични средства като обезщетение за ядрена вреда, която покрива разликата между този по-нисък размер и сумата от 100 </w:t>
      </w:r>
      <w:r w:rsidR="004464CF" w:rsidRPr="00345D92">
        <w:rPr>
          <w:rFonts w:ascii="Times New Roman" w:hAnsi="Times New Roman" w:cs="Times New Roman"/>
          <w:sz w:val="24"/>
          <w:szCs w:val="24"/>
        </w:rPr>
        <w:t>мл</w:t>
      </w:r>
      <w:r w:rsidR="004464CF">
        <w:rPr>
          <w:rFonts w:ascii="Times New Roman" w:hAnsi="Times New Roman" w:cs="Times New Roman"/>
          <w:sz w:val="24"/>
          <w:szCs w:val="24"/>
        </w:rPr>
        <w:t>н.</w:t>
      </w:r>
      <w:r w:rsidRPr="00345D92">
        <w:rPr>
          <w:rFonts w:ascii="Times New Roman" w:hAnsi="Times New Roman" w:cs="Times New Roman"/>
          <w:sz w:val="24"/>
          <w:szCs w:val="24"/>
        </w:rPr>
        <w:t xml:space="preserve"> СПТ.</w:t>
      </w:r>
    </w:p>
    <w:p w:rsidR="008D624C" w:rsidRPr="00DB1A1E" w:rsidRDefault="00345D92" w:rsidP="00E44C19">
      <w:pPr>
        <w:spacing w:before="120" w:after="120" w:line="240" w:lineRule="auto"/>
        <w:jc w:val="both"/>
        <w:rPr>
          <w:rFonts w:ascii="Times New Roman" w:eastAsia="Times New Roman" w:hAnsi="Times New Roman" w:cs="Times New Roman"/>
          <w:sz w:val="24"/>
          <w:szCs w:val="24"/>
        </w:rPr>
      </w:pPr>
      <w:r w:rsidRPr="00345D92">
        <w:rPr>
          <w:rFonts w:ascii="Times New Roman" w:hAnsi="Times New Roman" w:cs="Times New Roman"/>
          <w:sz w:val="24"/>
          <w:szCs w:val="24"/>
        </w:rPr>
        <w:t xml:space="preserve">Протоколът включва и възможност за държавата, в която се намира инсталацията, да определи по-нисък размер на отговорността на експлоатиращия предвид естеството на ядрената инсталация или на използваните ядрени вещества и предвидимите последствия от настъпила в тази инсталация авария, при условие че този определен размер в никакъв случай не е по-малък от 5 </w:t>
      </w:r>
      <w:r w:rsidR="004464CF" w:rsidRPr="00345D92">
        <w:rPr>
          <w:rFonts w:ascii="Times New Roman" w:hAnsi="Times New Roman" w:cs="Times New Roman"/>
          <w:sz w:val="24"/>
          <w:szCs w:val="24"/>
        </w:rPr>
        <w:t>мл</w:t>
      </w:r>
      <w:r w:rsidR="004464CF">
        <w:rPr>
          <w:rFonts w:ascii="Times New Roman" w:hAnsi="Times New Roman" w:cs="Times New Roman"/>
          <w:sz w:val="24"/>
          <w:szCs w:val="24"/>
        </w:rPr>
        <w:t>н.</w:t>
      </w:r>
      <w:r w:rsidRPr="00345D92">
        <w:rPr>
          <w:rFonts w:ascii="Times New Roman" w:hAnsi="Times New Roman" w:cs="Times New Roman"/>
          <w:sz w:val="24"/>
          <w:szCs w:val="24"/>
        </w:rPr>
        <w:t xml:space="preserve"> СПТ, и при условие че държавата, в която се намира инсталацията, гарантира да бъдат предоставени публични средства до размерите посочени в предходното изречение.</w:t>
      </w:r>
      <w:r w:rsidR="008D624C" w:rsidRPr="008D624C">
        <w:rPr>
          <w:rFonts w:ascii="Times New Roman" w:eastAsia="Times New Roman" w:hAnsi="Times New Roman" w:cs="Times New Roman"/>
          <w:sz w:val="24"/>
          <w:szCs w:val="24"/>
        </w:rPr>
        <w:t>В т</w:t>
      </w:r>
      <w:r w:rsidR="00E24B56">
        <w:rPr>
          <w:rFonts w:ascii="Times New Roman" w:eastAsia="Times New Roman" w:hAnsi="Times New Roman" w:cs="Times New Roman"/>
          <w:sz w:val="24"/>
          <w:szCs w:val="24"/>
        </w:rPr>
        <w:t xml:space="preserve">ози смисъл </w:t>
      </w:r>
      <w:r w:rsidR="00970A3B">
        <w:rPr>
          <w:rFonts w:ascii="Times New Roman" w:eastAsia="Times New Roman" w:hAnsi="Times New Roman" w:cs="Times New Roman"/>
          <w:sz w:val="24"/>
          <w:szCs w:val="24"/>
        </w:rPr>
        <w:t>възниква</w:t>
      </w:r>
      <w:r w:rsidR="00E24B56">
        <w:rPr>
          <w:rFonts w:ascii="Times New Roman" w:eastAsia="Times New Roman" w:hAnsi="Times New Roman" w:cs="Times New Roman"/>
          <w:sz w:val="24"/>
          <w:szCs w:val="24"/>
        </w:rPr>
        <w:t xml:space="preserve"> въпрос доколко</w:t>
      </w:r>
      <w:r w:rsidR="008D624C" w:rsidRPr="008D624C">
        <w:rPr>
          <w:rFonts w:ascii="Times New Roman" w:eastAsia="Times New Roman" w:hAnsi="Times New Roman" w:cs="Times New Roman"/>
          <w:sz w:val="24"/>
          <w:szCs w:val="24"/>
        </w:rPr>
        <w:t xml:space="preserve"> действащата нормативна уредба позволява реализацията на проект за изграждане и експлоатация на АЕЦ</w:t>
      </w:r>
      <w:r w:rsidR="00E24B56">
        <w:rPr>
          <w:rFonts w:ascii="Times New Roman" w:eastAsia="Times New Roman" w:hAnsi="Times New Roman" w:cs="Times New Roman"/>
          <w:sz w:val="24"/>
          <w:szCs w:val="24"/>
        </w:rPr>
        <w:t>,</w:t>
      </w:r>
      <w:r w:rsidR="008D624C" w:rsidRPr="008D624C">
        <w:rPr>
          <w:rFonts w:ascii="Times New Roman" w:eastAsia="Times New Roman" w:hAnsi="Times New Roman" w:cs="Times New Roman"/>
          <w:sz w:val="24"/>
          <w:szCs w:val="24"/>
        </w:rPr>
        <w:t xml:space="preserve"> без какъвто и да било финансов ангажимент от страна на държавата. Освен това, ратифицирането на протокола към Виенската конвенция би увеличило значително размера на отговорността на експлоатиращия, респективно държавата, в предвидените в конвенцията случаи.</w:t>
      </w:r>
    </w:p>
    <w:p w:rsidR="008D624C" w:rsidRPr="008D624C" w:rsidRDefault="008D624C" w:rsidP="00E44C19">
      <w:pPr>
        <w:spacing w:before="120" w:after="120" w:line="240" w:lineRule="auto"/>
        <w:jc w:val="both"/>
        <w:rPr>
          <w:rFonts w:ascii="Times New Roman" w:eastAsia="Times New Roman" w:hAnsi="Times New Roman" w:cs="Times New Roman"/>
          <w:sz w:val="24"/>
          <w:szCs w:val="24"/>
          <w:lang w:val="en-US"/>
        </w:rPr>
      </w:pPr>
    </w:p>
    <w:p w:rsidR="008D624C" w:rsidRPr="008D624C" w:rsidRDefault="008D624C" w:rsidP="002A32DA">
      <w:pPr>
        <w:pStyle w:val="Heading3"/>
        <w:numPr>
          <w:ilvl w:val="2"/>
          <w:numId w:val="8"/>
        </w:numPr>
        <w:spacing w:before="120" w:after="120" w:line="240" w:lineRule="auto"/>
        <w:ind w:left="567" w:hanging="567"/>
        <w:jc w:val="both"/>
        <w:rPr>
          <w:rFonts w:ascii="Times New Roman" w:hAnsi="Times New Roman" w:cs="Times New Roman"/>
          <w:b w:val="0"/>
          <w:color w:val="auto"/>
          <w:sz w:val="24"/>
          <w:szCs w:val="24"/>
          <w:u w:val="single"/>
        </w:rPr>
      </w:pPr>
      <w:bookmarkStart w:id="43" w:name="_Toc491680787"/>
      <w:bookmarkStart w:id="44" w:name="_Toc492991249"/>
      <w:bookmarkStart w:id="45" w:name="_Toc492991309"/>
      <w:bookmarkStart w:id="46" w:name="_Toc492991332"/>
      <w:r w:rsidRPr="008D624C">
        <w:rPr>
          <w:rFonts w:ascii="Times New Roman" w:hAnsi="Times New Roman" w:cs="Times New Roman"/>
          <w:b w:val="0"/>
          <w:color w:val="auto"/>
          <w:sz w:val="24"/>
          <w:szCs w:val="24"/>
          <w:u w:val="single"/>
        </w:rPr>
        <w:t>Управление на отработено гориво и радиоактивни отпадъци</w:t>
      </w:r>
      <w:bookmarkEnd w:id="43"/>
      <w:bookmarkEnd w:id="44"/>
      <w:bookmarkEnd w:id="45"/>
      <w:bookmarkEnd w:id="46"/>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Директива 2011/70/Е</w:t>
      </w:r>
      <w:r w:rsidR="00E24B56" w:rsidRPr="008D624C">
        <w:rPr>
          <w:rFonts w:ascii="Times New Roman" w:eastAsia="Times New Roman" w:hAnsi="Times New Roman" w:cs="Times New Roman"/>
          <w:sz w:val="24"/>
          <w:szCs w:val="24"/>
        </w:rPr>
        <w:t>вратом</w:t>
      </w:r>
      <w:r w:rsidRPr="008D624C">
        <w:rPr>
          <w:rFonts w:ascii="Times New Roman" w:eastAsia="Times New Roman" w:hAnsi="Times New Roman" w:cs="Times New Roman"/>
          <w:sz w:val="24"/>
          <w:szCs w:val="24"/>
        </w:rPr>
        <w:t xml:space="preserve"> на Съвета от 19</w:t>
      </w:r>
      <w:r w:rsidR="00E24B56">
        <w:rPr>
          <w:rFonts w:ascii="Times New Roman" w:eastAsia="Times New Roman" w:hAnsi="Times New Roman" w:cs="Times New Roman"/>
          <w:sz w:val="24"/>
          <w:szCs w:val="24"/>
        </w:rPr>
        <w:t>.07.</w:t>
      </w:r>
      <w:r w:rsidRPr="008D624C">
        <w:rPr>
          <w:rFonts w:ascii="Times New Roman" w:eastAsia="Times New Roman" w:hAnsi="Times New Roman" w:cs="Times New Roman"/>
          <w:sz w:val="24"/>
          <w:szCs w:val="24"/>
        </w:rPr>
        <w:t>2011 г</w:t>
      </w:r>
      <w:r w:rsidR="00E24B56">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за създаване на рамка на Общността за отговорно и безопасно управление на отработено гориво и радиоактивни отпадъци дава задължителна правна сила на основните международно одобрени принципи и изисквания в тази област.</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Директивата има за цел да гарантира високо ниво на безопасност, да избягва неоправдано натоварване на бъдещите поколения и да повишава прозрачността. Тя допълва основните стандарти, посочени в Договора за Евратом по отношение на безопасността на отработеното ядрено гориво(ОЯГ) и радиоактивните отпадъци (РАО), без да се засяга Директивата за основните стандарти за безопасност.</w:t>
      </w:r>
    </w:p>
    <w:p w:rsidR="00C36568" w:rsidRPr="008D624C" w:rsidRDefault="008D624C" w:rsidP="00E44C19">
      <w:pPr>
        <w:spacing w:before="120" w:after="120" w:line="240" w:lineRule="auto"/>
        <w:jc w:val="both"/>
        <w:rPr>
          <w:rFonts w:ascii="Times New Roman" w:eastAsia="Times New Roman" w:hAnsi="Times New Roman" w:cs="Times New Roman"/>
          <w:sz w:val="24"/>
          <w:szCs w:val="24"/>
        </w:rPr>
      </w:pPr>
      <w:r w:rsidRPr="00BB5523">
        <w:rPr>
          <w:rFonts w:ascii="Times New Roman" w:eastAsia="Times New Roman" w:hAnsi="Times New Roman" w:cs="Times New Roman"/>
          <w:sz w:val="24"/>
          <w:szCs w:val="24"/>
        </w:rPr>
        <w:t>Всяка държава-членка остава свободна да определя своята политика за ядрения горивен цикъл. Отработеното ядрено гориво може да се разглежда като ценен ресурс, който може да бъде преработен или като радиоактивен отпадък, предназначен за директно пог</w:t>
      </w:r>
      <w:r w:rsidR="00C8487E" w:rsidRPr="00BB5523">
        <w:rPr>
          <w:rFonts w:ascii="Times New Roman" w:eastAsia="Times New Roman" w:hAnsi="Times New Roman" w:cs="Times New Roman"/>
          <w:sz w:val="24"/>
          <w:szCs w:val="24"/>
        </w:rPr>
        <w:t>ребване. Независимо от избрания</w:t>
      </w:r>
      <w:r w:rsidRPr="00BB5523">
        <w:rPr>
          <w:rFonts w:ascii="Times New Roman" w:eastAsia="Times New Roman" w:hAnsi="Times New Roman" w:cs="Times New Roman"/>
          <w:sz w:val="24"/>
          <w:szCs w:val="24"/>
        </w:rPr>
        <w:t xml:space="preserve"> вариант, погребван</w:t>
      </w:r>
      <w:r w:rsidR="00C8487E" w:rsidRPr="00BB5523">
        <w:rPr>
          <w:rFonts w:ascii="Times New Roman" w:eastAsia="Times New Roman" w:hAnsi="Times New Roman" w:cs="Times New Roman"/>
          <w:sz w:val="24"/>
          <w:szCs w:val="24"/>
        </w:rPr>
        <w:t>ето на високоактивните отпадъци</w:t>
      </w:r>
      <w:r w:rsidRPr="00BB5523">
        <w:rPr>
          <w:rFonts w:ascii="Times New Roman" w:eastAsia="Times New Roman" w:hAnsi="Times New Roman" w:cs="Times New Roman"/>
          <w:sz w:val="24"/>
          <w:szCs w:val="24"/>
        </w:rPr>
        <w:t xml:space="preserve"> (получени от преработката на ОЯГ), или на ОЯГ(обявено за радиоактивен отпадък)</w:t>
      </w:r>
      <w:r w:rsidR="00C8487E" w:rsidRPr="00BB5523">
        <w:rPr>
          <w:rFonts w:ascii="Times New Roman" w:eastAsia="Times New Roman" w:hAnsi="Times New Roman" w:cs="Times New Roman"/>
          <w:sz w:val="24"/>
          <w:szCs w:val="24"/>
        </w:rPr>
        <w:t>,</w:t>
      </w:r>
      <w:r w:rsidRPr="00BB5523">
        <w:rPr>
          <w:rFonts w:ascii="Times New Roman" w:eastAsia="Times New Roman" w:hAnsi="Times New Roman" w:cs="Times New Roman"/>
          <w:sz w:val="24"/>
          <w:szCs w:val="24"/>
        </w:rPr>
        <w:t xml:space="preserve"> няма алтернатива. Съхраняването на радиоактивни отпадъци, включително дългосрочното съхранение, е временно решение, но не е алтернатива на погребването.</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lastRenderedPageBreak/>
        <w:t>Приемането на Директива 2011/70/Е</w:t>
      </w:r>
      <w:r w:rsidR="00E24B56" w:rsidRPr="008D624C">
        <w:rPr>
          <w:rFonts w:ascii="Times New Roman" w:eastAsia="Times New Roman" w:hAnsi="Times New Roman" w:cs="Times New Roman"/>
          <w:sz w:val="24"/>
          <w:szCs w:val="24"/>
        </w:rPr>
        <w:t>вратом</w:t>
      </w:r>
      <w:r w:rsidRPr="008D624C">
        <w:rPr>
          <w:rFonts w:ascii="Times New Roman" w:eastAsia="Times New Roman" w:hAnsi="Times New Roman" w:cs="Times New Roman"/>
          <w:sz w:val="24"/>
          <w:szCs w:val="24"/>
        </w:rPr>
        <w:t xml:space="preserve"> на Съвета две години след приемането на Директивата за ядрената безопасност е важно събитие и спомага за засилване на ядрената безопасност в рамките на Европейския съюз, като същевременно гарантира, че държавите-членки поемат отговорност за управление на техните радиоактивни отпадъци и отработено гориво.</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Директивата е в съответствие с Основните принципи на МААЕ за безопасност (IAEA</w:t>
      </w:r>
      <w:r w:rsidR="00010DC4">
        <w:rPr>
          <w:rFonts w:ascii="Times New Roman" w:eastAsia="Times New Roman" w:hAnsi="Times New Roman" w:cs="Times New Roman"/>
          <w:sz w:val="24"/>
          <w:szCs w:val="24"/>
        </w:rPr>
        <w:t xml:space="preserve"> </w:t>
      </w:r>
      <w:r w:rsidRPr="008D624C">
        <w:rPr>
          <w:rFonts w:ascii="Times New Roman" w:eastAsia="Times New Roman" w:hAnsi="Times New Roman" w:cs="Times New Roman"/>
          <w:sz w:val="24"/>
          <w:szCs w:val="24"/>
        </w:rPr>
        <w:t>Fundamental Safety Principles) и Единната конвенция за безопасност при управление на отработено гориво и за безопасност при управление на радиоактивни отпадъци.</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Съществени различия на Директивата с Единната конвенция са:</w:t>
      </w:r>
    </w:p>
    <w:p w:rsidR="008D624C" w:rsidRPr="008D624C" w:rsidRDefault="008D624C" w:rsidP="002A32DA">
      <w:pPr>
        <w:numPr>
          <w:ilvl w:val="0"/>
          <w:numId w:val="2"/>
        </w:numPr>
        <w:tabs>
          <w:tab w:val="left" w:pos="284"/>
        </w:tabs>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Директивата определя правно обвързващи изисквания за управление на ОЯГ/РАО (Единната конвенция има по-скоро ст</w:t>
      </w:r>
      <w:r w:rsidR="008F3489">
        <w:rPr>
          <w:rFonts w:ascii="Times New Roman" w:eastAsia="Times New Roman" w:hAnsi="Times New Roman" w:cs="Times New Roman"/>
          <w:sz w:val="24"/>
          <w:szCs w:val="24"/>
        </w:rPr>
        <w:t>имулиращ, поощрителен характер).</w:t>
      </w:r>
    </w:p>
    <w:p w:rsidR="008D624C" w:rsidRPr="008D624C" w:rsidRDefault="008D624C" w:rsidP="002A32DA">
      <w:pPr>
        <w:numPr>
          <w:ilvl w:val="0"/>
          <w:numId w:val="2"/>
        </w:numPr>
        <w:tabs>
          <w:tab w:val="left" w:pos="284"/>
        </w:tabs>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Директивата определя строги условия за износа на</w:t>
      </w:r>
      <w:r w:rsidR="008F3489">
        <w:rPr>
          <w:rFonts w:ascii="Times New Roman" w:eastAsia="Times New Roman" w:hAnsi="Times New Roman" w:cs="Times New Roman"/>
          <w:sz w:val="24"/>
          <w:szCs w:val="24"/>
        </w:rPr>
        <w:t xml:space="preserve"> радиоактивни отпадъци извън ЕС.</w:t>
      </w:r>
    </w:p>
    <w:p w:rsidR="008D624C" w:rsidRPr="008D624C" w:rsidRDefault="008D624C" w:rsidP="002A32DA">
      <w:pPr>
        <w:numPr>
          <w:ilvl w:val="0"/>
          <w:numId w:val="2"/>
        </w:numPr>
        <w:tabs>
          <w:tab w:val="left" w:pos="284"/>
        </w:tabs>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Директивата въвежда подробни изисквания за съдържанието на националните програми за управление н</w:t>
      </w:r>
      <w:r w:rsidR="008F3489">
        <w:rPr>
          <w:rFonts w:ascii="Times New Roman" w:eastAsia="Times New Roman" w:hAnsi="Times New Roman" w:cs="Times New Roman"/>
          <w:sz w:val="24"/>
          <w:szCs w:val="24"/>
        </w:rPr>
        <w:t>а ОЯГ и радиоактивните отпадъци.</w:t>
      </w:r>
    </w:p>
    <w:p w:rsidR="008D624C" w:rsidRPr="008D624C" w:rsidRDefault="008D624C" w:rsidP="002A32DA">
      <w:pPr>
        <w:numPr>
          <w:ilvl w:val="0"/>
          <w:numId w:val="2"/>
        </w:numPr>
        <w:tabs>
          <w:tab w:val="left" w:pos="284"/>
        </w:tabs>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Директивата насърчава прозрачността, предоставянето на информация на заинтересованите страни и участи</w:t>
      </w:r>
      <w:r w:rsidR="008F3489">
        <w:rPr>
          <w:rFonts w:ascii="Times New Roman" w:eastAsia="Times New Roman" w:hAnsi="Times New Roman" w:cs="Times New Roman"/>
          <w:sz w:val="24"/>
          <w:szCs w:val="24"/>
        </w:rPr>
        <w:t>ето им във вземането на решения.</w:t>
      </w:r>
    </w:p>
    <w:p w:rsidR="008D624C" w:rsidRPr="008D624C" w:rsidRDefault="008D624C" w:rsidP="002A32DA">
      <w:pPr>
        <w:numPr>
          <w:ilvl w:val="0"/>
          <w:numId w:val="2"/>
        </w:numPr>
        <w:tabs>
          <w:tab w:val="left" w:pos="284"/>
        </w:tabs>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Директивата ясно посочва погребването като крайна стъпка при управлението на ОЯГ и радиоактивните отпадъци и изисква от държавите-членки да вземат под внимание погребването като единствения приемлив вариант.</w:t>
      </w:r>
    </w:p>
    <w:p w:rsidR="008D624C" w:rsidRPr="008D624C" w:rsidRDefault="008D624C" w:rsidP="002A32DA">
      <w:pPr>
        <w:numPr>
          <w:ilvl w:val="0"/>
          <w:numId w:val="2"/>
        </w:numPr>
        <w:tabs>
          <w:tab w:val="left" w:pos="284"/>
        </w:tabs>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България е страна по Единната конвенция и регулярно докладва по въпросите за безопасното управление на ОЯГ и РАО, както и за нали</w:t>
      </w:r>
      <w:r w:rsidR="008F3489">
        <w:rPr>
          <w:rFonts w:ascii="Times New Roman" w:eastAsia="Times New Roman" w:hAnsi="Times New Roman" w:cs="Times New Roman"/>
          <w:sz w:val="24"/>
          <w:szCs w:val="24"/>
        </w:rPr>
        <w:t>чния инвентар от тези материали.</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България е въвела изискванията на Директивата в националното законодателство в предвидените за това срокове чрез Наредба за безопасност при управление на радиоактивните отпадъци (Приета с ПМС № 185 от 23.08.2013 г., Обн. ДВ. бр.76 от 30</w:t>
      </w:r>
      <w:r w:rsidR="008F3489">
        <w:rPr>
          <w:rFonts w:ascii="Times New Roman" w:eastAsia="Times New Roman" w:hAnsi="Times New Roman" w:cs="Times New Roman"/>
          <w:sz w:val="24"/>
          <w:szCs w:val="24"/>
        </w:rPr>
        <w:t>.08.</w:t>
      </w:r>
      <w:r w:rsidRPr="008D624C">
        <w:rPr>
          <w:rFonts w:ascii="Times New Roman" w:eastAsia="Times New Roman" w:hAnsi="Times New Roman" w:cs="Times New Roman"/>
          <w:sz w:val="24"/>
          <w:szCs w:val="24"/>
        </w:rPr>
        <w:t>2013г.) и Наредба за осигуряване безопасността при управление на отработено ядрено гориво (Приета с ПМС № 196 от 02.08.2004 г., Обн. ДВ. бр.71 от 13</w:t>
      </w:r>
      <w:r w:rsidR="008F3489">
        <w:rPr>
          <w:rFonts w:ascii="Times New Roman" w:eastAsia="Times New Roman" w:hAnsi="Times New Roman" w:cs="Times New Roman"/>
          <w:sz w:val="24"/>
          <w:szCs w:val="24"/>
        </w:rPr>
        <w:t>.08.</w:t>
      </w:r>
      <w:r w:rsidRPr="008D624C">
        <w:rPr>
          <w:rFonts w:ascii="Times New Roman" w:eastAsia="Times New Roman" w:hAnsi="Times New Roman" w:cs="Times New Roman"/>
          <w:sz w:val="24"/>
          <w:szCs w:val="24"/>
        </w:rPr>
        <w:t>2004г., изм. и доп. ДВ. бр.76 от 30</w:t>
      </w:r>
      <w:r w:rsidR="008F3489">
        <w:rPr>
          <w:rFonts w:ascii="Times New Roman" w:eastAsia="Times New Roman" w:hAnsi="Times New Roman" w:cs="Times New Roman"/>
          <w:sz w:val="24"/>
          <w:szCs w:val="24"/>
        </w:rPr>
        <w:t>.08.</w:t>
      </w:r>
      <w:r w:rsidRPr="008D624C">
        <w:rPr>
          <w:rFonts w:ascii="Times New Roman" w:eastAsia="Times New Roman" w:hAnsi="Times New Roman" w:cs="Times New Roman"/>
          <w:sz w:val="24"/>
          <w:szCs w:val="24"/>
        </w:rPr>
        <w:t>2013</w:t>
      </w:r>
      <w:r w:rsidR="008F3489">
        <w:rPr>
          <w:rFonts w:ascii="Times New Roman" w:eastAsia="Times New Roman" w:hAnsi="Times New Roman" w:cs="Times New Roman"/>
          <w:sz w:val="24"/>
          <w:szCs w:val="24"/>
        </w:rPr>
        <w:t xml:space="preserve"> г.).</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България е разработила, в съответствие с изискванията на Директивата, съответната национална програма (Стратегия за управление на отработено ядрено гориво и радиоактивни отпадъци до 2030 г.). Стратегията е приета с решение на МС и е изпратена на ЕК в предвидените срокове.</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България е разработила и прилага система за лицензиране, контрол, документиране, инспекции и система за правоприлагане на изискванията на нормативните документи в областта на безопасното управление на ОЯГ и РАО.</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E3805">
        <w:rPr>
          <w:rFonts w:ascii="Times New Roman" w:eastAsia="Times New Roman" w:hAnsi="Times New Roman" w:cs="Times New Roman"/>
          <w:sz w:val="24"/>
          <w:szCs w:val="24"/>
        </w:rPr>
        <w:t>България е приела погребването като последен етап от безопасното управление на ОЯГ и РАО. В ход е изграждане на национално приповърхностно хранилище за погребване на ниско- и средноактивни отпадъци. Предприети са първите стъпки по проучване на конкретни площадки за дълбоко геоложко погребване на високоактивни РАО и ОЯГ.</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Въведените в националното законодателство изисквания на Директивата се отнасят в еднаква степен за ОЯГ и РАО, генерирани както от работата на блоковете в АЕЦ </w:t>
      </w:r>
      <w:r w:rsidR="008F3489">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Козлодуй</w:t>
      </w:r>
      <w:r w:rsidR="008F3489">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и за ОЯГ и РАО, генерирани от една нова ядрена мощност.</w:t>
      </w:r>
    </w:p>
    <w:p w:rsid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lastRenderedPageBreak/>
        <w:t xml:space="preserve">В страната е разработена и функционира схема за финансиране на управлението на отработеното ядрено гориво и радиоактивни отпадъци (регулярни вноски от притежателите на лицензии). Същата схема </w:t>
      </w:r>
      <w:r w:rsidR="008F3489">
        <w:rPr>
          <w:rFonts w:ascii="Times New Roman" w:eastAsia="Times New Roman" w:hAnsi="Times New Roman" w:cs="Times New Roman"/>
          <w:sz w:val="24"/>
          <w:szCs w:val="24"/>
        </w:rPr>
        <w:t>тряб</w:t>
      </w:r>
      <w:r w:rsidRPr="008D624C">
        <w:rPr>
          <w:rFonts w:ascii="Times New Roman" w:eastAsia="Times New Roman" w:hAnsi="Times New Roman" w:cs="Times New Roman"/>
          <w:sz w:val="24"/>
          <w:szCs w:val="24"/>
        </w:rPr>
        <w:t>ва да се приложи и към една нова ядрена мощност.</w:t>
      </w:r>
    </w:p>
    <w:p w:rsidR="00180DC3" w:rsidRDefault="00180DC3" w:rsidP="00E44C19">
      <w:pPr>
        <w:spacing w:before="120" w:after="120" w:line="240" w:lineRule="auto"/>
        <w:jc w:val="both"/>
        <w:rPr>
          <w:rFonts w:ascii="Times New Roman" w:eastAsia="Times New Roman" w:hAnsi="Times New Roman" w:cs="Times New Roman"/>
          <w:sz w:val="24"/>
          <w:szCs w:val="24"/>
        </w:rPr>
      </w:pPr>
    </w:p>
    <w:p w:rsidR="008D624C" w:rsidRPr="008D624C" w:rsidRDefault="008D624C" w:rsidP="002A32DA">
      <w:pPr>
        <w:pStyle w:val="Heading3"/>
        <w:numPr>
          <w:ilvl w:val="2"/>
          <w:numId w:val="8"/>
        </w:numPr>
        <w:spacing w:before="120" w:after="120" w:line="240" w:lineRule="auto"/>
        <w:ind w:left="567" w:hanging="567"/>
        <w:jc w:val="both"/>
        <w:rPr>
          <w:rFonts w:ascii="Times New Roman" w:hAnsi="Times New Roman" w:cs="Times New Roman"/>
          <w:b w:val="0"/>
          <w:color w:val="auto"/>
          <w:sz w:val="24"/>
          <w:szCs w:val="24"/>
          <w:u w:val="single"/>
        </w:rPr>
      </w:pPr>
      <w:bookmarkStart w:id="47" w:name="_Toc491680788"/>
      <w:bookmarkStart w:id="48" w:name="_Toc492991250"/>
      <w:bookmarkStart w:id="49" w:name="_Toc492991310"/>
      <w:bookmarkStart w:id="50" w:name="_Toc492991333"/>
      <w:r w:rsidRPr="008D624C">
        <w:rPr>
          <w:rFonts w:ascii="Times New Roman" w:hAnsi="Times New Roman" w:cs="Times New Roman"/>
          <w:b w:val="0"/>
          <w:color w:val="auto"/>
          <w:sz w:val="24"/>
          <w:szCs w:val="24"/>
          <w:u w:val="single"/>
        </w:rPr>
        <w:t>Извеждане от експлоатация</w:t>
      </w:r>
      <w:bookmarkEnd w:id="47"/>
      <w:bookmarkEnd w:id="48"/>
      <w:bookmarkEnd w:id="49"/>
      <w:bookmarkEnd w:id="50"/>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През октомври 2004 г. Комисията представя на Европейския парламент първия си доклад относно използването на финансовите ресурси, определени за извеждане от експлоатация на атомни електроцентрали. През същата година Комисията създава и специална експертна Група по финансирането на извеждането от експлоатация (DFG). Групата по финансирането на извеждането от експлоатация е единственият орган </w:t>
      </w:r>
      <w:r w:rsidR="008F3489">
        <w:rPr>
          <w:rFonts w:ascii="Times New Roman" w:eastAsia="Times New Roman" w:hAnsi="Times New Roman" w:cs="Times New Roman"/>
          <w:sz w:val="24"/>
          <w:szCs w:val="24"/>
        </w:rPr>
        <w:t>в ЕС, който обединява държавите-</w:t>
      </w:r>
      <w:r w:rsidRPr="008D624C">
        <w:rPr>
          <w:rFonts w:ascii="Times New Roman" w:eastAsia="Times New Roman" w:hAnsi="Times New Roman" w:cs="Times New Roman"/>
          <w:sz w:val="24"/>
          <w:szCs w:val="24"/>
        </w:rPr>
        <w:t xml:space="preserve">членки и Комисията за общ анализ и обсъждане на въпросите на финансирането на извеждането от експлоатация. През 2006 г. Комисията приема Препоръка за фондовете за извеждане от експлоатация. Съгласно Препоръката на Комисията от 2006 г., всяка ядрена инсталация </w:t>
      </w:r>
      <w:r w:rsidR="008F3489">
        <w:rPr>
          <w:rFonts w:ascii="Times New Roman" w:eastAsia="Times New Roman" w:hAnsi="Times New Roman" w:cs="Times New Roman"/>
          <w:sz w:val="24"/>
          <w:szCs w:val="24"/>
        </w:rPr>
        <w:t>тряб</w:t>
      </w:r>
      <w:r w:rsidRPr="008D624C">
        <w:rPr>
          <w:rFonts w:ascii="Times New Roman" w:eastAsia="Times New Roman" w:hAnsi="Times New Roman" w:cs="Times New Roman"/>
          <w:sz w:val="24"/>
          <w:szCs w:val="24"/>
        </w:rPr>
        <w:t>ва да бъде в обхвата на стратегия за извеждане от експлоатация, приведена в съответствие с политиката за извеждане от експлоатация. ЕК с</w:t>
      </w:r>
      <w:r w:rsidR="008F3489">
        <w:rPr>
          <w:rFonts w:ascii="Times New Roman" w:eastAsia="Times New Roman" w:hAnsi="Times New Roman" w:cs="Times New Roman"/>
          <w:sz w:val="24"/>
          <w:szCs w:val="24"/>
        </w:rPr>
        <w:t>мя</w:t>
      </w:r>
      <w:r w:rsidRPr="008D624C">
        <w:rPr>
          <w:rFonts w:ascii="Times New Roman" w:eastAsia="Times New Roman" w:hAnsi="Times New Roman" w:cs="Times New Roman"/>
          <w:sz w:val="24"/>
          <w:szCs w:val="24"/>
        </w:rPr>
        <w:t>та, че само подробното планиране може да осигури набирането на адекватни финансови средства. През декември 2007 г. тя представя втория си доклад до Европейския парламент и Съвета за сравняване на практиката на финансиране на ядрените опе</w:t>
      </w:r>
      <w:r w:rsidR="008F3489">
        <w:rPr>
          <w:rFonts w:ascii="Times New Roman" w:eastAsia="Times New Roman" w:hAnsi="Times New Roman" w:cs="Times New Roman"/>
          <w:sz w:val="24"/>
          <w:szCs w:val="24"/>
        </w:rPr>
        <w:t>ратори в ЕС и тази на държавите-</w:t>
      </w:r>
      <w:r w:rsidRPr="008D624C">
        <w:rPr>
          <w:rFonts w:ascii="Times New Roman" w:eastAsia="Times New Roman" w:hAnsi="Times New Roman" w:cs="Times New Roman"/>
          <w:sz w:val="24"/>
          <w:szCs w:val="24"/>
        </w:rPr>
        <w:t>членки въз основа на критериите, изложени подробно в Препоръката на Комисията.</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През 2012 г. ОИСР/АЯЕ публикува „Международната система за прогнозиране на разходите по извеждане от експлоатация“ (ISDC)</w:t>
      </w:r>
      <w:r w:rsidR="00010DC4">
        <w:rPr>
          <w:rFonts w:ascii="Times New Roman" w:eastAsia="Times New Roman" w:hAnsi="Times New Roman" w:cs="Times New Roman"/>
          <w:sz w:val="24"/>
          <w:szCs w:val="24"/>
        </w:rPr>
        <w:t xml:space="preserve"> </w:t>
      </w:r>
      <w:r w:rsidRPr="008D624C">
        <w:rPr>
          <w:rFonts w:ascii="Times New Roman" w:eastAsia="Times New Roman" w:hAnsi="Times New Roman" w:cs="Times New Roman"/>
          <w:sz w:val="24"/>
          <w:szCs w:val="24"/>
        </w:rPr>
        <w:t>(NEA № 7088). Все още няма еквивалентна методика за прогнозиране на разходите за ядрените отпадъци.</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През 2013 г. ЕК представя Съобщение до Европейския парламент и Съвета относно използването на финансовите ресурси, определени за извеждане от експлоатация на ядрени инсталации, отработено гориво и радиоактивни отпадъци, придружено </w:t>
      </w:r>
      <w:r w:rsidR="008F3489">
        <w:rPr>
          <w:rFonts w:ascii="Times New Roman" w:eastAsia="Times New Roman" w:hAnsi="Times New Roman" w:cs="Times New Roman"/>
          <w:sz w:val="24"/>
          <w:szCs w:val="24"/>
        </w:rPr>
        <w:t>от работен документ, представящ</w:t>
      </w:r>
      <w:r w:rsidRPr="008D624C">
        <w:rPr>
          <w:rFonts w:ascii="Times New Roman" w:eastAsia="Times New Roman" w:hAnsi="Times New Roman" w:cs="Times New Roman"/>
          <w:sz w:val="24"/>
          <w:szCs w:val="24"/>
        </w:rPr>
        <w:t xml:space="preserve"> основни аспекти на проблема, препоръки, както и добри практики.</w:t>
      </w:r>
    </w:p>
    <w:p w:rsidR="008D624C" w:rsidRPr="008D624C" w:rsidRDefault="008F3489" w:rsidP="00E44C19">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ЕК отчита, че държавите-</w:t>
      </w:r>
      <w:r w:rsidR="008D624C" w:rsidRPr="008D624C">
        <w:rPr>
          <w:rFonts w:ascii="Times New Roman" w:eastAsia="Times New Roman" w:hAnsi="Times New Roman" w:cs="Times New Roman"/>
          <w:sz w:val="24"/>
          <w:szCs w:val="24"/>
        </w:rPr>
        <w:t>членки са избрали доста различни пътища за постигане на целта след окончателно спиране ядрените инсталации да бъдат изведе</w:t>
      </w:r>
      <w:r>
        <w:rPr>
          <w:rFonts w:ascii="Times New Roman" w:eastAsia="Times New Roman" w:hAnsi="Times New Roman" w:cs="Times New Roman"/>
          <w:sz w:val="24"/>
          <w:szCs w:val="24"/>
        </w:rPr>
        <w:t>ни от експлоатация. В държавите-</w:t>
      </w:r>
      <w:r w:rsidR="008D624C" w:rsidRPr="008D624C">
        <w:rPr>
          <w:rFonts w:ascii="Times New Roman" w:eastAsia="Times New Roman" w:hAnsi="Times New Roman" w:cs="Times New Roman"/>
          <w:sz w:val="24"/>
          <w:szCs w:val="24"/>
        </w:rPr>
        <w:t xml:space="preserve">членки, в които се извършват търговски дейности в ядрената област, са създадени широкообхватни системи, задължаващи притежателя на лицензията да натрупа адекватни финансови средства преди края на експлоатационния срок на инсталациите, за да гарантира, че </w:t>
      </w:r>
      <w:r>
        <w:rPr>
          <w:rFonts w:ascii="Times New Roman" w:eastAsia="Times New Roman" w:hAnsi="Times New Roman" w:cs="Times New Roman"/>
          <w:sz w:val="24"/>
          <w:szCs w:val="24"/>
        </w:rPr>
        <w:t xml:space="preserve">те </w:t>
      </w:r>
      <w:r w:rsidR="008D624C" w:rsidRPr="008D624C">
        <w:rPr>
          <w:rFonts w:ascii="Times New Roman" w:eastAsia="Times New Roman" w:hAnsi="Times New Roman" w:cs="Times New Roman"/>
          <w:sz w:val="24"/>
          <w:szCs w:val="24"/>
        </w:rPr>
        <w:t>са налице, когато са необходими за извеждането от експлоатация на неговите съоръжения. Като добри практики за спазване на принципа „замърсителят плаща“ са представени Холандия, Франция и Испани</w:t>
      </w:r>
      <w:r>
        <w:rPr>
          <w:rFonts w:ascii="Times New Roman" w:eastAsia="Times New Roman" w:hAnsi="Times New Roman" w:cs="Times New Roman"/>
          <w:sz w:val="24"/>
          <w:szCs w:val="24"/>
        </w:rPr>
        <w:t>я. Системите във всички държави-</w:t>
      </w:r>
      <w:r w:rsidR="008D624C" w:rsidRPr="008D624C">
        <w:rPr>
          <w:rFonts w:ascii="Times New Roman" w:eastAsia="Times New Roman" w:hAnsi="Times New Roman" w:cs="Times New Roman"/>
          <w:sz w:val="24"/>
          <w:szCs w:val="24"/>
        </w:rPr>
        <w:t>членки с търговски ядрени дейности се ос</w:t>
      </w:r>
      <w:r>
        <w:rPr>
          <w:rFonts w:ascii="Times New Roman" w:eastAsia="Times New Roman" w:hAnsi="Times New Roman" w:cs="Times New Roman"/>
          <w:sz w:val="24"/>
          <w:szCs w:val="24"/>
        </w:rPr>
        <w:t>новават на модела за създаване</w:t>
      </w:r>
      <w:r w:rsidR="008D624C" w:rsidRPr="008D624C">
        <w:rPr>
          <w:rFonts w:ascii="Times New Roman" w:eastAsia="Times New Roman" w:hAnsi="Times New Roman" w:cs="Times New Roman"/>
          <w:sz w:val="24"/>
          <w:szCs w:val="24"/>
        </w:rPr>
        <w:t xml:space="preserve"> на адекватни фондове за извеждане от експлоатация въз основа на приходите, получавани от дейностите по време на експлоатационния срок. </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Интервалът от време за натрупване на средства по фондовете обикновено се разпростира върху целия очакван експлоатационен срок. По-кратки срокове не са изключени и представляват средство за защита срещу непредвидени случаи, например предсрочно затваряне. В случаите на предсрочно затваряне, дължащо се на политически решения, по принцип </w:t>
      </w:r>
      <w:r w:rsidR="008F3489" w:rsidRPr="008D624C">
        <w:rPr>
          <w:rFonts w:ascii="Times New Roman" w:eastAsia="Times New Roman" w:hAnsi="Times New Roman" w:cs="Times New Roman"/>
          <w:sz w:val="24"/>
          <w:szCs w:val="24"/>
        </w:rPr>
        <w:t xml:space="preserve">правителството е отговорно </w:t>
      </w:r>
      <w:r w:rsidRPr="008D624C">
        <w:rPr>
          <w:rFonts w:ascii="Times New Roman" w:eastAsia="Times New Roman" w:hAnsi="Times New Roman" w:cs="Times New Roman"/>
          <w:sz w:val="24"/>
          <w:szCs w:val="24"/>
        </w:rPr>
        <w:t xml:space="preserve">за покриване на последвалия недостиг на средства във фонда. По отношение вида на фондовете, ЕК </w:t>
      </w:r>
      <w:r w:rsidRPr="008D624C">
        <w:rPr>
          <w:rFonts w:ascii="Times New Roman" w:eastAsia="Times New Roman" w:hAnsi="Times New Roman" w:cs="Times New Roman"/>
          <w:sz w:val="24"/>
          <w:szCs w:val="24"/>
        </w:rPr>
        <w:lastRenderedPageBreak/>
        <w:t>идентифицира три основни модели за фонд</w:t>
      </w:r>
      <w:r w:rsidR="008F3489">
        <w:rPr>
          <w:rFonts w:ascii="Times New Roman" w:eastAsia="Times New Roman" w:hAnsi="Times New Roman" w:cs="Times New Roman"/>
          <w:sz w:val="24"/>
          <w:szCs w:val="24"/>
        </w:rPr>
        <w:t xml:space="preserve"> –</w:t>
      </w:r>
      <w:r w:rsidRPr="008D624C">
        <w:rPr>
          <w:rFonts w:ascii="Times New Roman" w:eastAsia="Times New Roman" w:hAnsi="Times New Roman" w:cs="Times New Roman"/>
          <w:sz w:val="24"/>
          <w:szCs w:val="24"/>
        </w:rPr>
        <w:t xml:space="preserve"> самостоятелен вътрешен фонд, поддържан от оператора на инсталацията, но като отделен бюджет, до който може да се прибягва само за целите на извеждането от експлоатация и управлението на отпадъците и под контрола на националния орган; самостоятелен външен фонд</w:t>
      </w:r>
      <w:r w:rsidR="008F3489">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и несамостоятелен вътрешен фонд.</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В Република България финансирането на дейностите по извеждане от експлоатация на ядрени съоръжения се осъществява чрез набиране на средства във фонд </w:t>
      </w:r>
      <w:r w:rsidR="008F3489">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Извеждане от експлоатация на ядрени съоръжения</w:t>
      </w:r>
      <w:r w:rsidR="008F3489">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към министъра на енергетиката, наричан по-нататък </w:t>
      </w:r>
      <w:r w:rsidR="008F3489">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фонда</w:t>
      </w:r>
      <w:r w:rsidR="008F3489">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Приходите по фонда се събират, отчитат и централизират в системата на единната бюджетна сметка чрез използване на отделна транзитна сметка, открита на Министерството на енергетиката в Българската народна банка от следните източници:</w:t>
      </w:r>
    </w:p>
    <w:p w:rsidR="008D624C" w:rsidRPr="008D624C" w:rsidRDefault="008D624C" w:rsidP="002A32DA">
      <w:pPr>
        <w:numPr>
          <w:ilvl w:val="0"/>
          <w:numId w:val="2"/>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вноски от лицата, които експлоатират ядрено съоръжение, в размер, определен с Наредбата за реда за установяване, събиране, разходване и контрол на средствата и за размера на дължимите вноски във фонд </w:t>
      </w:r>
      <w:r w:rsidR="00D810F8">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Извеждане от експлоатация на ядрени съоръжения</w:t>
      </w:r>
      <w:r w:rsidR="00D810F8">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w:t>
      </w:r>
    </w:p>
    <w:p w:rsidR="008D624C" w:rsidRPr="008E3805" w:rsidRDefault="008D624C" w:rsidP="002A32DA">
      <w:pPr>
        <w:numPr>
          <w:ilvl w:val="0"/>
          <w:numId w:val="2"/>
        </w:numPr>
        <w:spacing w:before="120" w:after="120" w:line="240" w:lineRule="auto"/>
        <w:ind w:left="284" w:hanging="284"/>
        <w:jc w:val="both"/>
        <w:rPr>
          <w:rFonts w:ascii="Times New Roman" w:eastAsia="Times New Roman" w:hAnsi="Times New Roman" w:cs="Times New Roman"/>
          <w:sz w:val="24"/>
          <w:szCs w:val="24"/>
        </w:rPr>
      </w:pPr>
      <w:r w:rsidRPr="008E3805">
        <w:rPr>
          <w:rFonts w:ascii="Times New Roman" w:eastAsia="Times New Roman" w:hAnsi="Times New Roman" w:cs="Times New Roman"/>
          <w:sz w:val="24"/>
          <w:szCs w:val="24"/>
        </w:rPr>
        <w:t>средства от държавния бюджет, определяни ежегодно със закона за държавния бюджет за съответната година;</w:t>
      </w:r>
    </w:p>
    <w:p w:rsidR="008D624C" w:rsidRPr="008D624C" w:rsidRDefault="008D624C" w:rsidP="002A32DA">
      <w:pPr>
        <w:numPr>
          <w:ilvl w:val="0"/>
          <w:numId w:val="2"/>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лихви по управлението на набраните средства във фонда и по просрочени плащания на вноските от лицата, които експлоатират ядрено съоръжение;</w:t>
      </w:r>
    </w:p>
    <w:p w:rsidR="008D624C" w:rsidRPr="008D624C" w:rsidRDefault="008D624C" w:rsidP="002A32DA">
      <w:pPr>
        <w:numPr>
          <w:ilvl w:val="0"/>
          <w:numId w:val="2"/>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дарения;</w:t>
      </w:r>
    </w:p>
    <w:p w:rsidR="008D624C" w:rsidRPr="008D624C" w:rsidRDefault="008D624C" w:rsidP="002A32DA">
      <w:pPr>
        <w:numPr>
          <w:ilvl w:val="0"/>
          <w:numId w:val="2"/>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други приходи, получени в резултат </w:t>
      </w:r>
      <w:r w:rsidR="00D810F8">
        <w:rPr>
          <w:rFonts w:ascii="Times New Roman" w:eastAsia="Times New Roman" w:hAnsi="Times New Roman" w:cs="Times New Roman"/>
          <w:sz w:val="24"/>
          <w:szCs w:val="24"/>
        </w:rPr>
        <w:t>от</w:t>
      </w:r>
      <w:r w:rsidRPr="008D624C">
        <w:rPr>
          <w:rFonts w:ascii="Times New Roman" w:eastAsia="Times New Roman" w:hAnsi="Times New Roman" w:cs="Times New Roman"/>
          <w:sz w:val="24"/>
          <w:szCs w:val="24"/>
        </w:rPr>
        <w:t xml:space="preserve"> управлението на средствата на фонда.</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Средствата по фонда се изразходват целево само за финансиране на дейностите по извеждане от експлоатация на ядрени съоръжения. Когато реализацията на проекта за извеждане от експлоатация се окаже по-скъпа от одобрените от </w:t>
      </w:r>
      <w:r w:rsidRPr="00FA1F4B">
        <w:rPr>
          <w:rFonts w:ascii="Times New Roman" w:eastAsia="Times New Roman" w:hAnsi="Times New Roman" w:cs="Times New Roman"/>
          <w:caps/>
          <w:sz w:val="24"/>
          <w:szCs w:val="24"/>
        </w:rPr>
        <w:t>у</w:t>
      </w:r>
      <w:r w:rsidRPr="008D624C">
        <w:rPr>
          <w:rFonts w:ascii="Times New Roman" w:eastAsia="Times New Roman" w:hAnsi="Times New Roman" w:cs="Times New Roman"/>
          <w:sz w:val="24"/>
          <w:szCs w:val="24"/>
        </w:rPr>
        <w:t>правителния съвет на фонда оценки на разходите, необходимите допълнителни разходи са за сметка на лицето, което последно е експлоатирало ядреното съоръжение, съгласно издадена лицензия за експлоатация.</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При промяна на лицензианта и периодично, поне веднъж на 5 години, </w:t>
      </w:r>
      <w:r w:rsidRPr="00FA1F4B">
        <w:rPr>
          <w:rFonts w:ascii="Times New Roman" w:eastAsia="Times New Roman" w:hAnsi="Times New Roman" w:cs="Times New Roman"/>
          <w:caps/>
          <w:sz w:val="24"/>
          <w:szCs w:val="24"/>
        </w:rPr>
        <w:t>у</w:t>
      </w:r>
      <w:r w:rsidRPr="008D624C">
        <w:rPr>
          <w:rFonts w:ascii="Times New Roman" w:eastAsia="Times New Roman" w:hAnsi="Times New Roman" w:cs="Times New Roman"/>
          <w:sz w:val="24"/>
          <w:szCs w:val="24"/>
        </w:rPr>
        <w:t>правителният съвет прави преглед на оценките на разходите за извеждане от експлоатация, като при необходимост се изменя размерът на дължимите вноски.</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Р</w:t>
      </w:r>
      <w:r w:rsidR="00FA1F4B">
        <w:rPr>
          <w:rFonts w:ascii="Times New Roman" w:eastAsia="Times New Roman" w:hAnsi="Times New Roman" w:cs="Times New Roman"/>
          <w:sz w:val="24"/>
          <w:szCs w:val="24"/>
        </w:rPr>
        <w:t>азмерът на вноските се определя</w:t>
      </w:r>
      <w:r w:rsidRPr="008D624C">
        <w:rPr>
          <w:rFonts w:ascii="Times New Roman" w:eastAsia="Times New Roman" w:hAnsi="Times New Roman" w:cs="Times New Roman"/>
          <w:sz w:val="24"/>
          <w:szCs w:val="24"/>
        </w:rPr>
        <w:t xml:space="preserve"> съобразно Методология за определяне на разходите по финансиране на извеждането от експлоатация и съответно за определяне на дължимите вноски на годишна база, която се приема от Управителния съвет на фонда по предложение на министъра на енергетиката. </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 xml:space="preserve">Наредбата за реда за установяване, събиране, разходване и контрол на средствата и за размера на дължимите вноски във фонда предвижда, че методологията </w:t>
      </w:r>
      <w:r w:rsidR="00FA1F4B">
        <w:rPr>
          <w:rFonts w:ascii="Times New Roman" w:eastAsia="Times New Roman" w:hAnsi="Times New Roman" w:cs="Times New Roman"/>
          <w:sz w:val="24"/>
          <w:szCs w:val="24"/>
        </w:rPr>
        <w:t>тряб</w:t>
      </w:r>
      <w:r w:rsidRPr="008D624C">
        <w:rPr>
          <w:rFonts w:ascii="Times New Roman" w:eastAsia="Times New Roman" w:hAnsi="Times New Roman" w:cs="Times New Roman"/>
          <w:sz w:val="24"/>
          <w:szCs w:val="24"/>
        </w:rPr>
        <w:t>ва да се основава на оценката на разходите за извеждане от експлоатация на ядрени съоръжения, отнесени към целия период на експлоатация. При определяне на разходите за извеждане от експлоатация се отчитат:</w:t>
      </w:r>
    </w:p>
    <w:p w:rsidR="008D624C" w:rsidRPr="008D624C" w:rsidRDefault="008D624C" w:rsidP="002A32DA">
      <w:pPr>
        <w:numPr>
          <w:ilvl w:val="0"/>
          <w:numId w:val="2"/>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избраната концепция и планът за извеждане от експлоатация на съответния енергиен блок, група блокове или ядрена централа;</w:t>
      </w:r>
    </w:p>
    <w:p w:rsidR="008D624C" w:rsidRPr="008D624C" w:rsidRDefault="008D624C" w:rsidP="002A32DA">
      <w:pPr>
        <w:numPr>
          <w:ilvl w:val="0"/>
          <w:numId w:val="2"/>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оценката на необходимите финансови ресурси съгласно плана за извеждане от експлоатация на съответния енергиен блок, група блокове или ядрена централа;</w:t>
      </w:r>
    </w:p>
    <w:p w:rsidR="008D624C" w:rsidRPr="008D624C" w:rsidRDefault="008D624C" w:rsidP="002A32DA">
      <w:pPr>
        <w:numPr>
          <w:ilvl w:val="0"/>
          <w:numId w:val="2"/>
        </w:numPr>
        <w:spacing w:before="120" w:after="120" w:line="240" w:lineRule="auto"/>
        <w:ind w:left="284" w:hanging="284"/>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графикът на изпълнение на дейностите по извеждане от експлоатация.</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lastRenderedPageBreak/>
        <w:t>Важно е да се отбележи, че в случаите на прекратяване на лицензия за експлоатация на ядрено съоръжение и липса на средства за осигуряване на ядрената безопасност, радиационната защита и физическата защита при спиране на дейността</w:t>
      </w:r>
      <w:r w:rsidR="00FA1F4B">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тези средства се осигуряват от фонд </w:t>
      </w:r>
      <w:r w:rsidR="00FA1F4B">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Извеждане от експлоатация на ядрени съоръжения</w:t>
      </w:r>
      <w:r w:rsidR="00FA1F4B">
        <w:rPr>
          <w:rFonts w:ascii="Times New Roman" w:eastAsia="Times New Roman" w:hAnsi="Times New Roman" w:cs="Times New Roman"/>
          <w:sz w:val="24"/>
          <w:szCs w:val="24"/>
        </w:rPr>
        <w:t>”</w:t>
      </w:r>
      <w:r w:rsidRPr="008D624C">
        <w:rPr>
          <w:rFonts w:ascii="Times New Roman" w:eastAsia="Times New Roman" w:hAnsi="Times New Roman" w:cs="Times New Roman"/>
          <w:sz w:val="24"/>
          <w:szCs w:val="24"/>
        </w:rPr>
        <w:t xml:space="preserve"> (чл. 16 от Наредбата). Управителният съвет на фонда осигурява необходимите средства от фонда в рамките на предвидените със </w:t>
      </w:r>
      <w:r w:rsidRPr="00FA1F4B">
        <w:rPr>
          <w:rFonts w:ascii="Times New Roman" w:eastAsia="Times New Roman" w:hAnsi="Times New Roman" w:cs="Times New Roman"/>
          <w:caps/>
          <w:sz w:val="24"/>
          <w:szCs w:val="24"/>
        </w:rPr>
        <w:t>з</w:t>
      </w:r>
      <w:r w:rsidRPr="008D624C">
        <w:rPr>
          <w:rFonts w:ascii="Times New Roman" w:eastAsia="Times New Roman" w:hAnsi="Times New Roman" w:cs="Times New Roman"/>
          <w:sz w:val="24"/>
          <w:szCs w:val="24"/>
        </w:rPr>
        <w:t>акона за държавния бюджет за съответната година, а допълнително необходимите средства се осигуряват по реда на Закона за публичните финанси.</w:t>
      </w:r>
    </w:p>
    <w:p w:rsidR="008D624C" w:rsidRP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Този аспект на законодателството нарушава принципа за целево предоставяне на средствата във фонда и нарушава принципа замърсителят плаща и създaва предпоставки за възникване на въпроси и претенции в рамките на преговори с потенциален инвеститор.</w:t>
      </w:r>
    </w:p>
    <w:p w:rsidR="008D624C" w:rsidRDefault="008D624C" w:rsidP="00E44C19">
      <w:pPr>
        <w:spacing w:before="120" w:after="120" w:line="240" w:lineRule="auto"/>
        <w:jc w:val="both"/>
        <w:rPr>
          <w:rFonts w:ascii="Times New Roman" w:eastAsia="Times New Roman" w:hAnsi="Times New Roman" w:cs="Times New Roman"/>
          <w:sz w:val="24"/>
          <w:szCs w:val="24"/>
        </w:rPr>
      </w:pPr>
      <w:r w:rsidRPr="008D624C">
        <w:rPr>
          <w:rFonts w:ascii="Times New Roman" w:eastAsia="Times New Roman" w:hAnsi="Times New Roman" w:cs="Times New Roman"/>
          <w:sz w:val="24"/>
          <w:szCs w:val="24"/>
        </w:rPr>
        <w:t>Освен това, доколкото ЗБИЯЕ (чл. 49, ал.1, т. 2 ) и Наредбата предвиждат внасяне и последващо ангажиране на средства от фонда с произход от държавния бюджет, реализирането на подобна хипотеза категорично би довело до финансов ангажимент за държавата.</w:t>
      </w:r>
    </w:p>
    <w:p w:rsidR="00FA1F4B" w:rsidRDefault="00FA1F4B" w:rsidP="00E44C19">
      <w:pPr>
        <w:spacing w:before="120" w:after="120" w:line="240" w:lineRule="auto"/>
        <w:jc w:val="both"/>
        <w:rPr>
          <w:rFonts w:ascii="Times New Roman" w:eastAsia="Times New Roman" w:hAnsi="Times New Roman" w:cs="Times New Roman"/>
          <w:sz w:val="24"/>
          <w:szCs w:val="24"/>
        </w:rPr>
      </w:pPr>
    </w:p>
    <w:p w:rsidR="00FA1F4B" w:rsidRPr="00950BDF" w:rsidRDefault="00950BDF" w:rsidP="002A32DA">
      <w:pPr>
        <w:pStyle w:val="ListParagraph"/>
        <w:numPr>
          <w:ilvl w:val="0"/>
          <w:numId w:val="8"/>
        </w:numPr>
        <w:spacing w:before="120" w:after="120" w:line="240" w:lineRule="auto"/>
        <w:ind w:left="284" w:hanging="284"/>
        <w:contextualSpacing w:val="0"/>
        <w:jc w:val="both"/>
        <w:rPr>
          <w:rFonts w:ascii="Times New Roman" w:eastAsia="Times New Roman" w:hAnsi="Times New Roman" w:cs="Times New Roman"/>
          <w:b/>
          <w:sz w:val="24"/>
          <w:szCs w:val="24"/>
        </w:rPr>
      </w:pPr>
      <w:bookmarkStart w:id="51" w:name="_Toc491994391"/>
      <w:r w:rsidRPr="00950BDF">
        <w:rPr>
          <w:rFonts w:ascii="Times New Roman" w:hAnsi="Times New Roman" w:cs="Times New Roman"/>
          <w:b/>
          <w:sz w:val="24"/>
          <w:szCs w:val="24"/>
        </w:rPr>
        <w:t>Поддейност V.2. Разработване на вариант за отделяне на активите и пасивите на НЕК, свързани с Проекта „АЕЦ Белене“, в отделно търговско дружество с цел провеждане на последваща процедура по реда на Закона за приватизация и следприватизационен контрол</w:t>
      </w:r>
      <w:bookmarkEnd w:id="51"/>
    </w:p>
    <w:p w:rsidR="00950BDF" w:rsidRPr="00950BDF" w:rsidRDefault="0015718B" w:rsidP="00E44C1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Вариантите, които са възможни за реализация на</w:t>
      </w:r>
      <w:r w:rsidR="00950BDF" w:rsidRPr="00950BDF">
        <w:rPr>
          <w:rFonts w:ascii="Times New Roman" w:hAnsi="Times New Roman" w:cs="Times New Roman"/>
          <w:sz w:val="24"/>
          <w:szCs w:val="24"/>
        </w:rPr>
        <w:t xml:space="preserve"> съществуващите активи на проекта АЕЦ „Белене“, са следните:</w:t>
      </w:r>
    </w:p>
    <w:p w:rsidR="00950BDF" w:rsidRPr="00950BDF" w:rsidRDefault="00950BDF" w:rsidP="002A32DA">
      <w:pPr>
        <w:numPr>
          <w:ilvl w:val="0"/>
          <w:numId w:val="20"/>
        </w:numPr>
        <w:spacing w:before="120" w:after="120" w:line="240" w:lineRule="auto"/>
        <w:ind w:left="284" w:hanging="284"/>
        <w:jc w:val="both"/>
        <w:rPr>
          <w:rFonts w:ascii="Times New Roman" w:hAnsi="Times New Roman" w:cs="Times New Roman"/>
          <w:bCs/>
          <w:sz w:val="24"/>
          <w:szCs w:val="24"/>
        </w:rPr>
      </w:pPr>
      <w:r w:rsidRPr="00950BDF">
        <w:rPr>
          <w:rFonts w:ascii="Times New Roman" w:hAnsi="Times New Roman" w:cs="Times New Roman"/>
          <w:sz w:val="24"/>
          <w:szCs w:val="24"/>
        </w:rPr>
        <w:t xml:space="preserve">отделяне на </w:t>
      </w:r>
      <w:r w:rsidRPr="00950BDF">
        <w:rPr>
          <w:rFonts w:ascii="Times New Roman" w:hAnsi="Times New Roman" w:cs="Times New Roman"/>
          <w:bCs/>
          <w:sz w:val="24"/>
          <w:szCs w:val="24"/>
        </w:rPr>
        <w:t>пасивите и активите на НЕК, свързани с проекта АЕЦ „Белене“ в самостоятелно юридическо лице и последв</w:t>
      </w:r>
      <w:r w:rsidR="0018024A">
        <w:rPr>
          <w:rFonts w:ascii="Times New Roman" w:hAnsi="Times New Roman" w:cs="Times New Roman"/>
          <w:bCs/>
          <w:sz w:val="24"/>
          <w:szCs w:val="24"/>
        </w:rPr>
        <w:t>аща приватизация на дружеството;</w:t>
      </w:r>
    </w:p>
    <w:p w:rsidR="00950BDF" w:rsidRPr="00950BDF" w:rsidRDefault="00950BDF" w:rsidP="002A32DA">
      <w:pPr>
        <w:numPr>
          <w:ilvl w:val="0"/>
          <w:numId w:val="20"/>
        </w:numPr>
        <w:spacing w:before="120" w:after="120" w:line="240" w:lineRule="auto"/>
        <w:ind w:left="284" w:hanging="284"/>
        <w:jc w:val="both"/>
        <w:rPr>
          <w:rFonts w:ascii="Times New Roman" w:hAnsi="Times New Roman" w:cs="Times New Roman"/>
          <w:sz w:val="24"/>
          <w:szCs w:val="24"/>
        </w:rPr>
      </w:pPr>
      <w:r w:rsidRPr="00950BDF">
        <w:rPr>
          <w:rFonts w:ascii="Times New Roman" w:hAnsi="Times New Roman" w:cs="Times New Roman"/>
          <w:bCs/>
          <w:sz w:val="24"/>
          <w:szCs w:val="24"/>
        </w:rPr>
        <w:t>продажба на обособена част по реда на Закона за приватизаци</w:t>
      </w:r>
      <w:r w:rsidR="0018024A">
        <w:rPr>
          <w:rFonts w:ascii="Times New Roman" w:hAnsi="Times New Roman" w:cs="Times New Roman"/>
          <w:bCs/>
          <w:sz w:val="24"/>
          <w:szCs w:val="24"/>
        </w:rPr>
        <w:t>я и следприватизационен контрол;</w:t>
      </w:r>
    </w:p>
    <w:p w:rsidR="00950BDF" w:rsidRPr="00950BDF" w:rsidRDefault="00950BDF" w:rsidP="002A32DA">
      <w:pPr>
        <w:numPr>
          <w:ilvl w:val="0"/>
          <w:numId w:val="20"/>
        </w:numPr>
        <w:spacing w:before="120" w:after="120" w:line="240" w:lineRule="auto"/>
        <w:ind w:left="284" w:hanging="284"/>
        <w:jc w:val="both"/>
        <w:rPr>
          <w:rFonts w:ascii="Times New Roman" w:hAnsi="Times New Roman" w:cs="Times New Roman"/>
          <w:sz w:val="24"/>
          <w:szCs w:val="24"/>
        </w:rPr>
      </w:pPr>
      <w:r w:rsidRPr="00950BDF">
        <w:rPr>
          <w:rFonts w:ascii="Times New Roman" w:hAnsi="Times New Roman" w:cs="Times New Roman"/>
          <w:bCs/>
          <w:sz w:val="24"/>
          <w:szCs w:val="24"/>
        </w:rPr>
        <w:t>увеличаване на капитала на новосъздадено или съществуващо дружество на НЕК със стойността на активите на централата и организиране на участие в</w:t>
      </w:r>
      <w:r w:rsidR="0018024A">
        <w:rPr>
          <w:rFonts w:ascii="Times New Roman" w:hAnsi="Times New Roman" w:cs="Times New Roman"/>
          <w:bCs/>
          <w:sz w:val="24"/>
          <w:szCs w:val="24"/>
        </w:rPr>
        <w:t xml:space="preserve"> него на потенциален инвеститор;</w:t>
      </w:r>
    </w:p>
    <w:p w:rsidR="00950BDF" w:rsidRPr="00950BDF" w:rsidRDefault="00950BDF" w:rsidP="002A32DA">
      <w:pPr>
        <w:numPr>
          <w:ilvl w:val="0"/>
          <w:numId w:val="20"/>
        </w:numPr>
        <w:spacing w:before="120" w:after="120" w:line="240" w:lineRule="auto"/>
        <w:ind w:left="284" w:hanging="284"/>
        <w:jc w:val="both"/>
        <w:rPr>
          <w:rFonts w:ascii="Times New Roman" w:hAnsi="Times New Roman" w:cs="Times New Roman"/>
          <w:sz w:val="24"/>
          <w:szCs w:val="24"/>
        </w:rPr>
      </w:pPr>
      <w:r w:rsidRPr="00950BDF">
        <w:rPr>
          <w:rFonts w:ascii="Times New Roman" w:hAnsi="Times New Roman" w:cs="Times New Roman"/>
          <w:bCs/>
          <w:sz w:val="24"/>
          <w:szCs w:val="24"/>
        </w:rPr>
        <w:t xml:space="preserve">създаване на гражданско дружество с участие на НЕК със собствеността на съществуващите активи на проекта и друг инвеститор на основание </w:t>
      </w:r>
      <w:r w:rsidR="0018024A">
        <w:rPr>
          <w:rFonts w:ascii="Times New Roman" w:hAnsi="Times New Roman" w:cs="Times New Roman"/>
          <w:bCs/>
          <w:sz w:val="24"/>
          <w:szCs w:val="24"/>
        </w:rPr>
        <w:t>и по реда на чл. 357-364 от ЗЗД;</w:t>
      </w:r>
    </w:p>
    <w:p w:rsidR="00950BDF" w:rsidRPr="00950BDF" w:rsidRDefault="00950BDF" w:rsidP="002A32DA">
      <w:pPr>
        <w:numPr>
          <w:ilvl w:val="0"/>
          <w:numId w:val="20"/>
        </w:numPr>
        <w:spacing w:before="120" w:after="120" w:line="240" w:lineRule="auto"/>
        <w:ind w:left="284" w:hanging="284"/>
        <w:jc w:val="both"/>
        <w:rPr>
          <w:rFonts w:ascii="Times New Roman" w:hAnsi="Times New Roman" w:cs="Times New Roman"/>
          <w:bCs/>
          <w:sz w:val="24"/>
          <w:szCs w:val="24"/>
        </w:rPr>
      </w:pPr>
      <w:r w:rsidRPr="00950BDF">
        <w:rPr>
          <w:rFonts w:ascii="Times New Roman" w:hAnsi="Times New Roman" w:cs="Times New Roman"/>
          <w:bCs/>
          <w:sz w:val="24"/>
          <w:szCs w:val="24"/>
        </w:rPr>
        <w:t xml:space="preserve">разпоредителна сделка с ДМА от страна на НЕК </w:t>
      </w:r>
      <w:r>
        <w:rPr>
          <w:rFonts w:ascii="Times New Roman" w:hAnsi="Times New Roman" w:cs="Times New Roman"/>
          <w:bCs/>
          <w:sz w:val="24"/>
          <w:szCs w:val="24"/>
        </w:rPr>
        <w:t>–</w:t>
      </w:r>
      <w:r w:rsidRPr="00950BDF">
        <w:rPr>
          <w:rFonts w:ascii="Times New Roman" w:hAnsi="Times New Roman" w:cs="Times New Roman"/>
          <w:bCs/>
          <w:sz w:val="24"/>
          <w:szCs w:val="24"/>
        </w:rPr>
        <w:t xml:space="preserve"> продажба на дълготрайни материални активи, като част от капитала на НЕК.</w:t>
      </w:r>
    </w:p>
    <w:p w:rsidR="00950BDF" w:rsidRPr="00950BDF" w:rsidRDefault="00950BDF" w:rsidP="0018024A">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Предвид поставеният в заданието фокус на задачата</w:t>
      </w:r>
      <w:r w:rsidR="0018024A">
        <w:rPr>
          <w:rFonts w:ascii="Times New Roman" w:hAnsi="Times New Roman" w:cs="Times New Roman"/>
          <w:sz w:val="24"/>
          <w:szCs w:val="24"/>
        </w:rPr>
        <w:t>,</w:t>
      </w:r>
      <w:r w:rsidRPr="00950BDF">
        <w:rPr>
          <w:rFonts w:ascii="Times New Roman" w:hAnsi="Times New Roman" w:cs="Times New Roman"/>
          <w:sz w:val="24"/>
          <w:szCs w:val="24"/>
        </w:rPr>
        <w:t xml:space="preserve"> само първите два варианта са представени в следващото изложение.</w:t>
      </w:r>
    </w:p>
    <w:p w:rsidR="00950BDF" w:rsidRPr="00950BDF" w:rsidRDefault="00950BDF" w:rsidP="00E44C19">
      <w:pPr>
        <w:spacing w:before="120" w:after="120" w:line="240" w:lineRule="auto"/>
        <w:rPr>
          <w:rFonts w:ascii="Times New Roman" w:eastAsia="Times New Roman" w:hAnsi="Times New Roman" w:cs="Times New Roman"/>
          <w:sz w:val="24"/>
          <w:szCs w:val="24"/>
        </w:rPr>
      </w:pPr>
    </w:p>
    <w:p w:rsidR="00950BDF" w:rsidRPr="00950BDF" w:rsidRDefault="00950BDF" w:rsidP="002A32DA">
      <w:pPr>
        <w:numPr>
          <w:ilvl w:val="1"/>
          <w:numId w:val="21"/>
        </w:numPr>
        <w:spacing w:before="120" w:after="120" w:line="240" w:lineRule="auto"/>
        <w:ind w:left="426" w:hanging="426"/>
        <w:jc w:val="both"/>
        <w:rPr>
          <w:rFonts w:ascii="Times New Roman" w:eastAsia="Times New Roman" w:hAnsi="Times New Roman" w:cs="Times New Roman"/>
          <w:bCs/>
          <w:i/>
          <w:sz w:val="24"/>
          <w:szCs w:val="24"/>
        </w:rPr>
      </w:pPr>
      <w:r w:rsidRPr="00950BDF">
        <w:rPr>
          <w:rFonts w:ascii="Times New Roman" w:eastAsia="Times New Roman" w:hAnsi="Times New Roman" w:cs="Times New Roman"/>
          <w:bCs/>
          <w:i/>
          <w:sz w:val="24"/>
          <w:szCs w:val="24"/>
        </w:rPr>
        <w:t>Отделяне на пасивите и активите на „НЕК“ ЕАД, свързани с проекта „АЕЦ Белене“ в самостоятелно юридическо лице и последващата му приватизация</w:t>
      </w:r>
    </w:p>
    <w:p w:rsidR="00950BDF" w:rsidRPr="00950BDF" w:rsidRDefault="00950BDF" w:rsidP="00E44C19">
      <w:pPr>
        <w:spacing w:before="120" w:after="120" w:line="240" w:lineRule="auto"/>
        <w:rPr>
          <w:rFonts w:ascii="Times New Roman" w:hAnsi="Times New Roman" w:cs="Times New Roman"/>
          <w:sz w:val="24"/>
          <w:szCs w:val="24"/>
        </w:rPr>
      </w:pPr>
      <w:r w:rsidRPr="00950BDF">
        <w:rPr>
          <w:rFonts w:ascii="Times New Roman" w:hAnsi="Times New Roman" w:cs="Times New Roman"/>
          <w:sz w:val="24"/>
          <w:szCs w:val="24"/>
        </w:rPr>
        <w:t>Реализирането на този вариант преминава през следните стъпки:</w:t>
      </w:r>
    </w:p>
    <w:p w:rsidR="00950BDF" w:rsidRPr="00950BDF" w:rsidRDefault="00950BDF" w:rsidP="002A32DA">
      <w:pPr>
        <w:pStyle w:val="ListParagraph"/>
        <w:numPr>
          <w:ilvl w:val="0"/>
          <w:numId w:val="26"/>
        </w:numPr>
        <w:spacing w:before="120" w:after="120" w:line="240" w:lineRule="auto"/>
        <w:ind w:left="284" w:hanging="284"/>
        <w:contextualSpacing w:val="0"/>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 xml:space="preserve">Анализ на техническите параметри на оборудването, придобито въз основа на решението на арбитражно дело ICCCas 18086/GZ/MHM, както и на състоянието на </w:t>
      </w:r>
      <w:r w:rsidRPr="00950BDF">
        <w:rPr>
          <w:rFonts w:ascii="Times New Roman" w:eastAsia="Times New Roman" w:hAnsi="Times New Roman" w:cs="Times New Roman"/>
          <w:sz w:val="24"/>
          <w:szCs w:val="24"/>
        </w:rPr>
        <w:lastRenderedPageBreak/>
        <w:t>сега съществуващите на площадката „Белене“ активи, с цел тяхното апортиране, като непарична вноска в капитала на новото/съществуващото Дружество. Начинът на образуване на ново дружество по реда на Търговския закон трябва да бъде определен след като прави</w:t>
      </w:r>
      <w:r w:rsidR="00092E37">
        <w:rPr>
          <w:rFonts w:ascii="Times New Roman" w:eastAsia="Times New Roman" w:hAnsi="Times New Roman" w:cs="Times New Roman"/>
          <w:sz w:val="24"/>
          <w:szCs w:val="24"/>
        </w:rPr>
        <w:t>телството вземе решение за това</w:t>
      </w:r>
      <w:r w:rsidRPr="00950BDF">
        <w:rPr>
          <w:rFonts w:ascii="Times New Roman" w:eastAsia="Times New Roman" w:hAnsi="Times New Roman" w:cs="Times New Roman"/>
          <w:sz w:val="24"/>
          <w:szCs w:val="24"/>
        </w:rPr>
        <w:t xml:space="preserve"> дали ще се построи отново атомната централа и този процес трябва да бъде реализиран чрез отделяне на активите и пасивите на НЕК, свързани с проекта АЕЦ </w:t>
      </w:r>
      <w:r w:rsidR="00092E37" w:rsidRPr="00950BDF">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Белене“, в отделно търговско дружество с цел провеждане на последваща процедура за раздържавяването им</w:t>
      </w:r>
      <w:r w:rsidR="00092E37">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 xml:space="preserve"> или тези активи трябва да бъдат пр</w:t>
      </w:r>
      <w:r w:rsidR="00092E37">
        <w:rPr>
          <w:rFonts w:ascii="Times New Roman" w:eastAsia="Times New Roman" w:hAnsi="Times New Roman" w:cs="Times New Roman"/>
          <w:sz w:val="24"/>
          <w:szCs w:val="24"/>
        </w:rPr>
        <w:t>одадени на съответен инвеститор</w:t>
      </w:r>
      <w:r w:rsidRPr="00950BDF">
        <w:rPr>
          <w:rFonts w:ascii="Times New Roman" w:eastAsia="Times New Roman" w:hAnsi="Times New Roman" w:cs="Times New Roman"/>
          <w:sz w:val="24"/>
          <w:szCs w:val="24"/>
        </w:rPr>
        <w:t xml:space="preserve"> като дълготрайни материални активи, собственост на НЕК.</w:t>
      </w:r>
    </w:p>
    <w:p w:rsidR="00950BDF" w:rsidRPr="00950BDF" w:rsidRDefault="00950BDF" w:rsidP="002A32DA">
      <w:pPr>
        <w:pStyle w:val="ListParagraph"/>
        <w:numPr>
          <w:ilvl w:val="0"/>
          <w:numId w:val="26"/>
        </w:numPr>
        <w:spacing w:before="120" w:after="120" w:line="240" w:lineRule="auto"/>
        <w:ind w:left="284" w:hanging="284"/>
        <w:contextualSpacing w:val="0"/>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Възлагане оценка на пазарната стойност на непаричната вноска от лицензирани за това лица, оценители със съответната квалификация и сертификати.</w:t>
      </w:r>
    </w:p>
    <w:p w:rsidR="00950BDF" w:rsidRPr="00950BDF" w:rsidRDefault="00950BDF" w:rsidP="002A32DA">
      <w:pPr>
        <w:pStyle w:val="ListParagraph"/>
        <w:numPr>
          <w:ilvl w:val="0"/>
          <w:numId w:val="26"/>
        </w:numPr>
        <w:spacing w:before="120" w:after="120" w:line="240" w:lineRule="auto"/>
        <w:ind w:left="284" w:hanging="284"/>
        <w:contextualSpacing w:val="0"/>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Съгласно компетентността им по реда на Търговския закон, Правилника за реда за упражняване правата на собственост на държавата в търговските дружества с държавно участие в капитала и актуалния устав на НЕК, както и получаване на съответните разрешения от Агенцията за приватизация и следприватизационен контрол (АПСК), вземане на решение на съответните органи на управление на НЕК за апорт на материалните и нематериални активи по т.1.</w:t>
      </w:r>
    </w:p>
    <w:p w:rsidR="00950BDF" w:rsidRPr="00950BDF" w:rsidRDefault="00950BDF" w:rsidP="002A32DA">
      <w:pPr>
        <w:pStyle w:val="ListParagraph"/>
        <w:numPr>
          <w:ilvl w:val="0"/>
          <w:numId w:val="26"/>
        </w:numPr>
        <w:spacing w:before="120" w:after="120" w:line="240" w:lineRule="auto"/>
        <w:ind w:left="284" w:hanging="284"/>
        <w:contextualSpacing w:val="0"/>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Вписване на промените или новото Дружеството в Търговския регистър, воден от Агенцията по вписванията.</w:t>
      </w:r>
    </w:p>
    <w:p w:rsidR="00950BDF" w:rsidRPr="00950BDF" w:rsidRDefault="00950BDF" w:rsidP="002A32DA">
      <w:pPr>
        <w:pStyle w:val="ListParagraph"/>
        <w:numPr>
          <w:ilvl w:val="0"/>
          <w:numId w:val="26"/>
        </w:numPr>
        <w:spacing w:before="120" w:after="120" w:line="240" w:lineRule="auto"/>
        <w:ind w:left="284" w:hanging="284"/>
        <w:contextualSpacing w:val="0"/>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Последващо предложение за раздържавяване на новото търговско Дружество или съществуващото.</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При прилагане на този вариант е възможно използването на съществуващо търговско дружество.</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 xml:space="preserve">При раздържавяване на Дружеството са възможни няколко хипотези, в зависимост от решението </w:t>
      </w:r>
      <w:r w:rsidR="00092E37">
        <w:rPr>
          <w:rFonts w:ascii="Times New Roman" w:eastAsia="Times New Roman" w:hAnsi="Times New Roman" w:cs="Times New Roman"/>
          <w:sz w:val="24"/>
          <w:szCs w:val="24"/>
        </w:rPr>
        <w:t>на правителството на РБ за това</w:t>
      </w:r>
      <w:r w:rsidRPr="00950BDF">
        <w:rPr>
          <w:rFonts w:ascii="Times New Roman" w:eastAsia="Times New Roman" w:hAnsi="Times New Roman" w:cs="Times New Roman"/>
          <w:sz w:val="24"/>
          <w:szCs w:val="24"/>
        </w:rPr>
        <w:t xml:space="preserve"> дали в бъдеще ще се построи новата атомна централа и е необходимо да се намери инвеститор, или противоположната позиция – да се реализира изгодна сделка за продажба на съществуващите вече придобити дълготрайни материални активи (ДМА), собственост на НЕК</w:t>
      </w:r>
      <w:r w:rsidR="00092E37">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 xml:space="preserve"> и предназначени за строителството на атомна централа.</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При първата хипотеза, най-реалният способ е приватизация, с цел намиране на инвеститор за построяване на атомната централа. Условията и начините на реализиране на този процес са уредени в Закона за приватизация и следприватизационен контрол (ЗПСК). Доколкото законопроектът за изменение и допълнение на ЗПСК (по-долу само Законопроект), ще бъде внесен, разгледан и гласуван от Народното събрание, същият е коментиран отделно по-долу.</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1B6832">
        <w:rPr>
          <w:rFonts w:ascii="Times New Roman" w:eastAsia="Times New Roman" w:hAnsi="Times New Roman" w:cs="Times New Roman"/>
          <w:sz w:val="24"/>
          <w:szCs w:val="24"/>
        </w:rPr>
        <w:t>При действащата нормативна уредба</w:t>
      </w:r>
      <w:r w:rsidR="00092E37" w:rsidRPr="001B6832">
        <w:rPr>
          <w:rFonts w:ascii="Times New Roman" w:eastAsia="Times New Roman" w:hAnsi="Times New Roman" w:cs="Times New Roman"/>
          <w:sz w:val="24"/>
          <w:szCs w:val="24"/>
        </w:rPr>
        <w:t>, по-</w:t>
      </w:r>
      <w:r w:rsidRPr="001B6832">
        <w:rPr>
          <w:rFonts w:ascii="Times New Roman" w:eastAsia="Times New Roman" w:hAnsi="Times New Roman" w:cs="Times New Roman"/>
          <w:sz w:val="24"/>
          <w:szCs w:val="24"/>
        </w:rPr>
        <w:t>специално в чл. 3, ал.1</w:t>
      </w:r>
      <w:r w:rsidR="00BC1970" w:rsidRPr="001B6832">
        <w:rPr>
          <w:rFonts w:ascii="Times New Roman" w:eastAsia="Times New Roman" w:hAnsi="Times New Roman" w:cs="Times New Roman"/>
          <w:sz w:val="24"/>
          <w:szCs w:val="24"/>
        </w:rPr>
        <w:t xml:space="preserve"> на ЗПСК</w:t>
      </w:r>
      <w:r w:rsidR="00092E37" w:rsidRPr="001B6832">
        <w:rPr>
          <w:rFonts w:ascii="Times New Roman" w:eastAsia="Times New Roman" w:hAnsi="Times New Roman" w:cs="Times New Roman"/>
          <w:sz w:val="24"/>
          <w:szCs w:val="24"/>
        </w:rPr>
        <w:t>,</w:t>
      </w:r>
      <w:r w:rsidRPr="001B6832">
        <w:rPr>
          <w:rFonts w:ascii="Times New Roman" w:eastAsia="Times New Roman" w:hAnsi="Times New Roman" w:cs="Times New Roman"/>
          <w:sz w:val="24"/>
          <w:szCs w:val="24"/>
        </w:rPr>
        <w:t xml:space="preserve"> е указано, че държавното участие в капитала на всички търговски дружества се счита за обявено за приватизация от момента на влизането в сила на ЗПСК, с изключение на дружествата, включени в списъка-приложение № 1 към чл.3, ал.1 от ЗПСК, по-долу само</w:t>
      </w:r>
      <w:r w:rsidR="00010DC4">
        <w:rPr>
          <w:rFonts w:ascii="Times New Roman" w:eastAsia="Times New Roman" w:hAnsi="Times New Roman" w:cs="Times New Roman"/>
          <w:sz w:val="24"/>
          <w:szCs w:val="24"/>
        </w:rPr>
        <w:t xml:space="preserve"> </w:t>
      </w:r>
      <w:r w:rsidRPr="001B6832">
        <w:rPr>
          <w:rFonts w:ascii="Times New Roman" w:eastAsia="Times New Roman" w:hAnsi="Times New Roman" w:cs="Times New Roman"/>
          <w:sz w:val="24"/>
          <w:szCs w:val="24"/>
        </w:rPr>
        <w:t>Забранителен списък</w:t>
      </w:r>
      <w:r w:rsidR="00BC1970" w:rsidRPr="001B6832">
        <w:rPr>
          <w:rFonts w:ascii="Times New Roman" w:eastAsia="Times New Roman" w:hAnsi="Times New Roman" w:cs="Times New Roman"/>
          <w:sz w:val="24"/>
          <w:szCs w:val="24"/>
        </w:rPr>
        <w:t>.</w:t>
      </w:r>
      <w:r w:rsidR="00010DC4">
        <w:rPr>
          <w:rFonts w:ascii="Times New Roman" w:eastAsia="Times New Roman" w:hAnsi="Times New Roman" w:cs="Times New Roman"/>
          <w:sz w:val="24"/>
          <w:szCs w:val="24"/>
        </w:rPr>
        <w:t xml:space="preserve"> </w:t>
      </w:r>
      <w:r w:rsidR="00BC1970" w:rsidRPr="001B6832">
        <w:rPr>
          <w:rFonts w:ascii="Times New Roman" w:eastAsia="Times New Roman" w:hAnsi="Times New Roman" w:cs="Times New Roman"/>
          <w:sz w:val="24"/>
          <w:szCs w:val="24"/>
        </w:rPr>
        <w:t>В</w:t>
      </w:r>
      <w:r w:rsidR="00010DC4">
        <w:rPr>
          <w:rFonts w:ascii="Times New Roman" w:eastAsia="Times New Roman" w:hAnsi="Times New Roman" w:cs="Times New Roman"/>
          <w:sz w:val="24"/>
          <w:szCs w:val="24"/>
        </w:rPr>
        <w:t xml:space="preserve"> </w:t>
      </w:r>
      <w:r w:rsidR="00BC1970" w:rsidRPr="001B6832">
        <w:rPr>
          <w:rFonts w:ascii="Times New Roman" w:eastAsia="Times New Roman" w:hAnsi="Times New Roman" w:cs="Times New Roman"/>
          <w:sz w:val="24"/>
          <w:szCs w:val="24"/>
        </w:rPr>
        <w:t>този списък е</w:t>
      </w:r>
      <w:r w:rsidRPr="001B6832">
        <w:rPr>
          <w:rFonts w:ascii="Times New Roman" w:eastAsia="Times New Roman" w:hAnsi="Times New Roman" w:cs="Times New Roman"/>
          <w:sz w:val="24"/>
          <w:szCs w:val="24"/>
        </w:rPr>
        <w:t xml:space="preserve"> включен „Български енергиен холдинг“ ЕАД). Съгласно ЗПСК от АПСК се приема решение за приватизация за дялове или акции – собственост на търговските дружества, включени в Забранителния списък (каквото е БЕХ), в други търговски дружества – техни дъщерни дружества (каквото е НЕК), както и за обособени части от имуществото на търговски дружества, чи</w:t>
      </w:r>
      <w:r w:rsidR="00092E37" w:rsidRPr="001B6832">
        <w:rPr>
          <w:rFonts w:ascii="Times New Roman" w:eastAsia="Times New Roman" w:hAnsi="Times New Roman" w:cs="Times New Roman"/>
          <w:sz w:val="24"/>
          <w:szCs w:val="24"/>
        </w:rPr>
        <w:t>и</w:t>
      </w:r>
      <w:r w:rsidRPr="001B6832">
        <w:rPr>
          <w:rFonts w:ascii="Times New Roman" w:eastAsia="Times New Roman" w:hAnsi="Times New Roman" w:cs="Times New Roman"/>
          <w:sz w:val="24"/>
          <w:szCs w:val="24"/>
        </w:rPr>
        <w:t>то капитал е собственост на други търговски</w:t>
      </w:r>
      <w:r w:rsidR="00092E37" w:rsidRPr="001B6832">
        <w:rPr>
          <w:rFonts w:ascii="Times New Roman" w:eastAsia="Times New Roman" w:hAnsi="Times New Roman" w:cs="Times New Roman"/>
          <w:sz w:val="24"/>
          <w:szCs w:val="24"/>
        </w:rPr>
        <w:t xml:space="preserve"> дружества с повече от 50%</w:t>
      </w:r>
      <w:r w:rsidRPr="001B6832">
        <w:rPr>
          <w:rFonts w:ascii="Times New Roman" w:eastAsia="Times New Roman" w:hAnsi="Times New Roman" w:cs="Times New Roman"/>
          <w:sz w:val="24"/>
          <w:szCs w:val="24"/>
        </w:rPr>
        <w:t xml:space="preserve"> държавно участие в капитала (например обособена част от НЕК, чийто капитал е собственост на </w:t>
      </w:r>
      <w:r w:rsidRPr="001B6832">
        <w:rPr>
          <w:rFonts w:ascii="Times New Roman" w:eastAsia="Times New Roman" w:hAnsi="Times New Roman" w:cs="Times New Roman"/>
          <w:sz w:val="24"/>
          <w:szCs w:val="24"/>
        </w:rPr>
        <w:lastRenderedPageBreak/>
        <w:t>БЕХ).</w:t>
      </w:r>
      <w:r w:rsidR="00BC1970" w:rsidRPr="008B2E27">
        <w:rPr>
          <w:rFonts w:ascii="Times New Roman" w:eastAsia="Times New Roman" w:hAnsi="Times New Roman" w:cs="Times New Roman"/>
          <w:sz w:val="24"/>
          <w:szCs w:val="24"/>
        </w:rPr>
        <w:t>Следователно съгласно чл.3, ал.3, т. 3, б.„в“ от ЗПСК, АПСК приема решение за приватизация на акциите на НЕК, както и неговите обособени части.</w:t>
      </w:r>
    </w:p>
    <w:p w:rsidR="00950BDF" w:rsidRPr="00D04448" w:rsidRDefault="00950BDF" w:rsidP="00E44C19">
      <w:pPr>
        <w:spacing w:before="120" w:after="120" w:line="240" w:lineRule="auto"/>
        <w:jc w:val="both"/>
        <w:rPr>
          <w:rFonts w:ascii="Times New Roman" w:eastAsia="Times New Roman" w:hAnsi="Times New Roman" w:cs="Times New Roman"/>
          <w:sz w:val="24"/>
          <w:szCs w:val="24"/>
        </w:rPr>
      </w:pPr>
      <w:r w:rsidRPr="00D04448">
        <w:rPr>
          <w:rFonts w:ascii="Times New Roman" w:eastAsia="Times New Roman" w:hAnsi="Times New Roman" w:cs="Times New Roman"/>
          <w:sz w:val="24"/>
          <w:szCs w:val="24"/>
        </w:rPr>
        <w:t>В ЗПСК липсва регламент за раздържавяване на дъщерни дружества на търговски дружества, чийто капитал е собственост на други тър</w:t>
      </w:r>
      <w:r w:rsidR="00092E37" w:rsidRPr="00D04448">
        <w:rPr>
          <w:rFonts w:ascii="Times New Roman" w:eastAsia="Times New Roman" w:hAnsi="Times New Roman" w:cs="Times New Roman"/>
          <w:sz w:val="24"/>
          <w:szCs w:val="24"/>
        </w:rPr>
        <w:t>говски дружества с над 50%</w:t>
      </w:r>
      <w:r w:rsidRPr="00D04448">
        <w:rPr>
          <w:rFonts w:ascii="Times New Roman" w:eastAsia="Times New Roman" w:hAnsi="Times New Roman" w:cs="Times New Roman"/>
          <w:sz w:val="24"/>
          <w:szCs w:val="24"/>
        </w:rPr>
        <w:t xml:space="preserve"> държавно участие в капитала</w:t>
      </w:r>
      <w:r w:rsidR="008B2E27" w:rsidRPr="00D04448">
        <w:rPr>
          <w:rFonts w:ascii="Times New Roman" w:eastAsia="Times New Roman" w:hAnsi="Times New Roman" w:cs="Times New Roman"/>
          <w:sz w:val="24"/>
          <w:szCs w:val="24"/>
        </w:rPr>
        <w:t xml:space="preserve">. </w:t>
      </w:r>
      <w:r w:rsidR="00252AAD" w:rsidRPr="00D04448">
        <w:rPr>
          <w:rFonts w:ascii="Times New Roman" w:eastAsia="Times New Roman" w:hAnsi="Times New Roman" w:cs="Times New Roman"/>
          <w:sz w:val="24"/>
          <w:szCs w:val="24"/>
        </w:rPr>
        <w:t xml:space="preserve">Новоучреденото </w:t>
      </w:r>
      <w:r w:rsidR="008B2E27" w:rsidRPr="00D04448">
        <w:rPr>
          <w:rFonts w:ascii="Times New Roman" w:eastAsia="Times New Roman" w:hAnsi="Times New Roman" w:cs="Times New Roman"/>
          <w:sz w:val="24"/>
          <w:szCs w:val="24"/>
        </w:rPr>
        <w:t xml:space="preserve">дружество </w:t>
      </w:r>
      <w:r w:rsidR="00252AAD" w:rsidRPr="00D04448">
        <w:rPr>
          <w:rFonts w:ascii="Times New Roman" w:eastAsia="Times New Roman" w:hAnsi="Times New Roman" w:cs="Times New Roman"/>
          <w:sz w:val="24"/>
          <w:szCs w:val="24"/>
        </w:rPr>
        <w:t>ще бъде дъщерно на „БЕХ“ ЕАД – НЕК ЕАД</w:t>
      </w:r>
      <w:r w:rsidR="001B6832" w:rsidRPr="00D04448">
        <w:rPr>
          <w:rFonts w:ascii="Times New Roman" w:eastAsia="Times New Roman" w:hAnsi="Times New Roman" w:cs="Times New Roman"/>
          <w:sz w:val="24"/>
          <w:szCs w:val="24"/>
        </w:rPr>
        <w:t>, защото ще бъде учредено с</w:t>
      </w:r>
      <w:r w:rsidRPr="00D04448">
        <w:rPr>
          <w:rFonts w:ascii="Times New Roman" w:eastAsia="Times New Roman" w:hAnsi="Times New Roman" w:cs="Times New Roman"/>
          <w:sz w:val="24"/>
          <w:szCs w:val="24"/>
        </w:rPr>
        <w:t xml:space="preserve"> капитал</w:t>
      </w:r>
      <w:r w:rsidR="001B6832" w:rsidRPr="00D04448">
        <w:rPr>
          <w:rFonts w:ascii="Times New Roman" w:eastAsia="Times New Roman" w:hAnsi="Times New Roman" w:cs="Times New Roman"/>
          <w:sz w:val="24"/>
          <w:szCs w:val="24"/>
        </w:rPr>
        <w:t xml:space="preserve">, който принадлежи на </w:t>
      </w:r>
      <w:r w:rsidRPr="00D04448">
        <w:rPr>
          <w:rFonts w:ascii="Times New Roman" w:eastAsia="Times New Roman" w:hAnsi="Times New Roman" w:cs="Times New Roman"/>
          <w:sz w:val="24"/>
          <w:szCs w:val="24"/>
        </w:rPr>
        <w:t xml:space="preserve"> НЕК</w:t>
      </w:r>
      <w:r w:rsidR="001B6832" w:rsidRPr="00D04448">
        <w:rPr>
          <w:rFonts w:ascii="Times New Roman" w:eastAsia="Times New Roman" w:hAnsi="Times New Roman" w:cs="Times New Roman"/>
          <w:sz w:val="24"/>
          <w:szCs w:val="24"/>
        </w:rPr>
        <w:t>.</w:t>
      </w:r>
      <w:r w:rsidRPr="00D04448">
        <w:rPr>
          <w:rFonts w:ascii="Times New Roman" w:eastAsia="Times New Roman" w:hAnsi="Times New Roman" w:cs="Times New Roman"/>
          <w:sz w:val="24"/>
          <w:szCs w:val="24"/>
        </w:rPr>
        <w:t>,. Това означава, че неговата продажба, би трябвало да се извърши по реда на Търговския закон, в зависимост от решението на органите на управление на НЕК и съответно това на неговия принципал – „БЕХ“ ЕАД.</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D04448">
        <w:rPr>
          <w:rFonts w:ascii="Times New Roman" w:eastAsia="Times New Roman" w:hAnsi="Times New Roman" w:cs="Times New Roman"/>
          <w:sz w:val="24"/>
          <w:szCs w:val="24"/>
        </w:rPr>
        <w:t xml:space="preserve">От анализа на съществуващата нормативна уредба е видно, че с цел защита </w:t>
      </w:r>
      <w:r w:rsidR="00092E37" w:rsidRPr="00D04448">
        <w:rPr>
          <w:rFonts w:ascii="Times New Roman" w:eastAsia="Times New Roman" w:hAnsi="Times New Roman" w:cs="Times New Roman"/>
          <w:sz w:val="24"/>
          <w:szCs w:val="24"/>
        </w:rPr>
        <w:t xml:space="preserve">на </w:t>
      </w:r>
      <w:r w:rsidRPr="00D04448">
        <w:rPr>
          <w:rFonts w:ascii="Times New Roman" w:eastAsia="Times New Roman" w:hAnsi="Times New Roman" w:cs="Times New Roman"/>
          <w:sz w:val="24"/>
          <w:szCs w:val="24"/>
        </w:rPr>
        <w:t>интересите на държавата, най-удачно е да се пристъпи към създаване на ново търговско дружество чрез отделяне по реда на чл.261 и ост. от Търговския закон на вече цитираните по-горе активи от НЕК в ново търговско дружество, собственост на БЕХ</w:t>
      </w:r>
      <w:r w:rsidR="001B6832" w:rsidRPr="00D04448">
        <w:rPr>
          <w:rFonts w:ascii="Times New Roman" w:eastAsia="Times New Roman" w:hAnsi="Times New Roman" w:cs="Times New Roman"/>
          <w:sz w:val="24"/>
          <w:szCs w:val="24"/>
        </w:rPr>
        <w:t>, или търговско дружество извън опеката на БЕХ, в което правата на собственост на държавата върху капитала ще се упражняват от министъра на енергетиката</w:t>
      </w:r>
      <w:r w:rsidRPr="00D04448">
        <w:rPr>
          <w:rFonts w:ascii="Times New Roman" w:eastAsia="Times New Roman" w:hAnsi="Times New Roman" w:cs="Times New Roman"/>
          <w:sz w:val="24"/>
          <w:szCs w:val="24"/>
        </w:rPr>
        <w:t>. По този начин бъдещата приватизация ще се осъществи по реда на ЗПСК, като АПСК приеме съответното решение по реда на чл.3, ал.</w:t>
      </w:r>
      <w:r w:rsidR="001B6832" w:rsidRPr="00D04448">
        <w:rPr>
          <w:rFonts w:ascii="Times New Roman" w:eastAsia="Times New Roman" w:hAnsi="Times New Roman" w:cs="Times New Roman"/>
          <w:sz w:val="24"/>
          <w:szCs w:val="24"/>
        </w:rPr>
        <w:t>3</w:t>
      </w:r>
      <w:r w:rsidRPr="00D04448">
        <w:rPr>
          <w:rFonts w:ascii="Times New Roman" w:eastAsia="Times New Roman" w:hAnsi="Times New Roman" w:cs="Times New Roman"/>
          <w:sz w:val="24"/>
          <w:szCs w:val="24"/>
        </w:rPr>
        <w:t>, т.3, б.“в“ и пристъпи към реализация на приватизационния процес, включващ:</w:t>
      </w:r>
    </w:p>
    <w:p w:rsidR="00950BDF" w:rsidRPr="00950BDF" w:rsidRDefault="00950BDF" w:rsidP="002A32DA">
      <w:pPr>
        <w:numPr>
          <w:ilvl w:val="0"/>
          <w:numId w:val="22"/>
        </w:numPr>
        <w:spacing w:before="120" w:after="120" w:line="240" w:lineRule="auto"/>
        <w:ind w:left="284" w:hanging="284"/>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Възлагане изработването на правен анализ, приватизационна оценка и информационен меморандум. Същият може да се възложи за цялото Дружеството, включително и за неговите отделни обособени части.</w:t>
      </w:r>
    </w:p>
    <w:p w:rsidR="00950BDF" w:rsidRPr="00950BDF" w:rsidRDefault="00950BDF" w:rsidP="002A32DA">
      <w:pPr>
        <w:numPr>
          <w:ilvl w:val="0"/>
          <w:numId w:val="22"/>
        </w:numPr>
        <w:spacing w:before="120" w:after="120" w:line="240" w:lineRule="auto"/>
        <w:ind w:left="284" w:hanging="284"/>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Определяне съответния метод (най-удачният в случая би бил публично оповестен конкурс) за приватизация. Целесъобразно е в решението на АПСК да се поставят квалификационни критерии, на които да отговарят потенциалните инвеститори, с оглед изграждане на бъдеща атомна електроцентрала. Предвид необходимостта от гарантирана възможност за контрол на държавата в процеса</w:t>
      </w:r>
      <w:r w:rsidR="00D04448">
        <w:rPr>
          <w:rFonts w:ascii="Times New Roman" w:eastAsia="Times New Roman" w:hAnsi="Times New Roman" w:cs="Times New Roman"/>
          <w:sz w:val="24"/>
          <w:szCs w:val="24"/>
        </w:rPr>
        <w:t xml:space="preserve"> на приватизация</w:t>
      </w:r>
      <w:r w:rsidRPr="00950BDF">
        <w:rPr>
          <w:rFonts w:ascii="Times New Roman" w:eastAsia="Times New Roman" w:hAnsi="Times New Roman" w:cs="Times New Roman"/>
          <w:sz w:val="24"/>
          <w:szCs w:val="24"/>
        </w:rPr>
        <w:t xml:space="preserve">, </w:t>
      </w:r>
      <w:r w:rsidR="00092E37">
        <w:rPr>
          <w:rFonts w:ascii="Times New Roman" w:eastAsia="Times New Roman" w:hAnsi="Times New Roman" w:cs="Times New Roman"/>
          <w:sz w:val="24"/>
          <w:szCs w:val="24"/>
        </w:rPr>
        <w:t>тряб</w:t>
      </w:r>
      <w:r w:rsidRPr="00950BDF">
        <w:rPr>
          <w:rFonts w:ascii="Times New Roman" w:eastAsia="Times New Roman" w:hAnsi="Times New Roman" w:cs="Times New Roman"/>
          <w:sz w:val="24"/>
          <w:szCs w:val="24"/>
        </w:rPr>
        <w:t>ва да се направи предложение и за заделяне</w:t>
      </w:r>
      <w:r w:rsidR="00092E37">
        <w:rPr>
          <w:rFonts w:ascii="Times New Roman" w:eastAsia="Times New Roman" w:hAnsi="Times New Roman" w:cs="Times New Roman"/>
          <w:sz w:val="24"/>
          <w:szCs w:val="24"/>
        </w:rPr>
        <w:t xml:space="preserve"> на съответен брой акции/дялове</w:t>
      </w:r>
      <w:r w:rsidRPr="00950BDF">
        <w:rPr>
          <w:rFonts w:ascii="Times New Roman" w:eastAsia="Times New Roman" w:hAnsi="Times New Roman" w:cs="Times New Roman"/>
          <w:sz w:val="24"/>
          <w:szCs w:val="24"/>
        </w:rPr>
        <w:t xml:space="preserve"> от капитала на приватизиращото се дружество, които да останат нейна собственост (например „златна акция“).</w:t>
      </w:r>
    </w:p>
    <w:p w:rsidR="00950BDF" w:rsidRPr="00950BDF" w:rsidRDefault="00950BDF" w:rsidP="002A32DA">
      <w:pPr>
        <w:numPr>
          <w:ilvl w:val="0"/>
          <w:numId w:val="22"/>
        </w:numPr>
        <w:spacing w:before="120" w:after="120" w:line="240" w:lineRule="auto"/>
        <w:ind w:left="284" w:hanging="284"/>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Провеждане на всички дейности за продажба, подробно регламентирани в ЗПСК.</w:t>
      </w:r>
    </w:p>
    <w:p w:rsidR="00950BDF" w:rsidRPr="00950BDF" w:rsidRDefault="00950BDF" w:rsidP="00E44C19">
      <w:pPr>
        <w:spacing w:before="120" w:after="120" w:line="240" w:lineRule="auto"/>
        <w:rPr>
          <w:rFonts w:ascii="Times New Roman" w:eastAsia="Times New Roman" w:hAnsi="Times New Roman" w:cs="Times New Roman"/>
          <w:sz w:val="24"/>
          <w:szCs w:val="24"/>
        </w:rPr>
      </w:pPr>
    </w:p>
    <w:p w:rsidR="00950BDF" w:rsidRPr="00950BDF" w:rsidRDefault="00950BDF" w:rsidP="002A32DA">
      <w:pPr>
        <w:numPr>
          <w:ilvl w:val="1"/>
          <w:numId w:val="21"/>
        </w:numPr>
        <w:spacing w:before="120" w:after="120" w:line="240" w:lineRule="auto"/>
        <w:ind w:left="426" w:hanging="426"/>
        <w:jc w:val="both"/>
        <w:rPr>
          <w:rFonts w:ascii="Times New Roman" w:eastAsia="Times New Roman" w:hAnsi="Times New Roman" w:cs="Times New Roman"/>
          <w:bCs/>
          <w:i/>
          <w:sz w:val="24"/>
          <w:szCs w:val="24"/>
        </w:rPr>
      </w:pPr>
      <w:r w:rsidRPr="00950BDF">
        <w:rPr>
          <w:rFonts w:ascii="Times New Roman" w:eastAsia="Times New Roman" w:hAnsi="Times New Roman" w:cs="Times New Roman"/>
          <w:bCs/>
          <w:i/>
          <w:sz w:val="24"/>
          <w:szCs w:val="24"/>
        </w:rPr>
        <w:t>Приватизация чрез продажба на обособена част</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Другият способ за приватизация на активите, находящи се на площадката на АЕЦ „Белене“, е продажба на обособена част. Тъй като това е приватизационна сделка, нейният режим е регламентиран в ЗПСК.</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 xml:space="preserve">Съгласно действащия ЗПСК, неговите Допълнителни разпоредби, </w:t>
      </w:r>
      <w:r w:rsidR="00092E37">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Обособена част</w:t>
      </w:r>
      <w:r w:rsidR="00092E37">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 xml:space="preserve"> е структура в търговско дружество, която може самостоятелно да осъществява стопанска дейност (магазин, ателие, кораб, цех, ресторант, хотел и други подобни), както и незавършен обект на строителството </w:t>
      </w:r>
      <w:r w:rsidR="00092E37">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 xml:space="preserve"> собственост на търговско дружество. Ако приемем, че непостроената АЕЦ „Белене“ представлява незавършен обект на строителство и тя е </w:t>
      </w:r>
      <w:r w:rsidRPr="00950BDF">
        <w:rPr>
          <w:rFonts w:ascii="Times New Roman" w:eastAsia="Times New Roman" w:hAnsi="Times New Roman" w:cs="Times New Roman"/>
          <w:i/>
          <w:sz w:val="24"/>
          <w:szCs w:val="24"/>
        </w:rPr>
        <w:t>де факто</w:t>
      </w:r>
      <w:r w:rsidRPr="00950BDF">
        <w:rPr>
          <w:rFonts w:ascii="Times New Roman" w:eastAsia="Times New Roman" w:hAnsi="Times New Roman" w:cs="Times New Roman"/>
          <w:sz w:val="24"/>
          <w:szCs w:val="24"/>
        </w:rPr>
        <w:t xml:space="preserve"> и </w:t>
      </w:r>
      <w:r w:rsidRPr="00950BDF">
        <w:rPr>
          <w:rFonts w:ascii="Times New Roman" w:eastAsia="Times New Roman" w:hAnsi="Times New Roman" w:cs="Times New Roman"/>
          <w:i/>
          <w:sz w:val="24"/>
          <w:szCs w:val="24"/>
        </w:rPr>
        <w:t>де юре</w:t>
      </w:r>
      <w:r w:rsidRPr="00950BDF">
        <w:rPr>
          <w:rFonts w:ascii="Times New Roman" w:eastAsia="Times New Roman" w:hAnsi="Times New Roman" w:cs="Times New Roman"/>
          <w:sz w:val="24"/>
          <w:szCs w:val="24"/>
        </w:rPr>
        <w:t xml:space="preserve"> структура в НЕК, то тя носи характеристиката на обособена част по смисъла на ЗПСК.</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На основание чл. 8, ал. 2 от ЗПСК паричните постъпления или част от паричните постъпления от приватизацията на обособената част могат да бъдат преведени по сметка на НЕК по решение на АПСК, след съгласуване с БЕХ</w:t>
      </w:r>
      <w:r w:rsidR="00092E37">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 xml:space="preserve"> и остават собственост на </w:t>
      </w:r>
      <w:r w:rsidRPr="00950BDF">
        <w:rPr>
          <w:rFonts w:ascii="Times New Roman" w:eastAsia="Times New Roman" w:hAnsi="Times New Roman" w:cs="Times New Roman"/>
          <w:sz w:val="24"/>
          <w:szCs w:val="24"/>
        </w:rPr>
        <w:lastRenderedPageBreak/>
        <w:t xml:space="preserve">НЕК. В този акт е и мястото за регламентиране </w:t>
      </w:r>
      <w:r w:rsidR="00092E37">
        <w:rPr>
          <w:rFonts w:ascii="Times New Roman" w:eastAsia="Times New Roman" w:hAnsi="Times New Roman" w:cs="Times New Roman"/>
          <w:sz w:val="24"/>
          <w:szCs w:val="24"/>
        </w:rPr>
        <w:t xml:space="preserve">на </w:t>
      </w:r>
      <w:r w:rsidRPr="00950BDF">
        <w:rPr>
          <w:rFonts w:ascii="Times New Roman" w:eastAsia="Times New Roman" w:hAnsi="Times New Roman" w:cs="Times New Roman"/>
          <w:sz w:val="24"/>
          <w:szCs w:val="24"/>
        </w:rPr>
        <w:t>реда и начина, по който получените финансови средства от сделката да бъдат разпоредени.</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Видно от разпоредбата на предложения за обществено обсъждане Законопроект, приватизацията на акции и дялове от капитала на търговски дружества, собственост на държавата, както и на търговски</w:t>
      </w:r>
      <w:r w:rsidR="00092E37">
        <w:rPr>
          <w:rFonts w:ascii="Times New Roman" w:eastAsia="Times New Roman" w:hAnsi="Times New Roman" w:cs="Times New Roman"/>
          <w:sz w:val="24"/>
          <w:szCs w:val="24"/>
        </w:rPr>
        <w:t xml:space="preserve"> дружества с повече от 50%</w:t>
      </w:r>
      <w:r w:rsidRPr="00950BDF">
        <w:rPr>
          <w:rFonts w:ascii="Times New Roman" w:eastAsia="Times New Roman" w:hAnsi="Times New Roman" w:cs="Times New Roman"/>
          <w:sz w:val="24"/>
          <w:szCs w:val="24"/>
        </w:rPr>
        <w:t xml:space="preserve"> (каквото е НЕК) държавно участие в капитала се забранява. С оглед на това, дори и да се учреди ново търговско</w:t>
      </w:r>
      <w:r w:rsidR="00092E37">
        <w:rPr>
          <w:rFonts w:ascii="Times New Roman" w:eastAsia="Times New Roman" w:hAnsi="Times New Roman" w:cs="Times New Roman"/>
          <w:sz w:val="24"/>
          <w:szCs w:val="24"/>
        </w:rPr>
        <w:t xml:space="preserve"> дружество (независимо дали</w:t>
      </w:r>
      <w:r w:rsidRPr="00950BDF">
        <w:rPr>
          <w:rFonts w:ascii="Times New Roman" w:eastAsia="Times New Roman" w:hAnsi="Times New Roman" w:cs="Times New Roman"/>
          <w:sz w:val="24"/>
          <w:szCs w:val="24"/>
        </w:rPr>
        <w:t xml:space="preserve"> еднолично акционерно дружество или еднолично дружество с ограничена отговорност, чиито акции или дялове са собственост на държавата, или на друго тър</w:t>
      </w:r>
      <w:r w:rsidR="00092E37">
        <w:rPr>
          <w:rFonts w:ascii="Times New Roman" w:eastAsia="Times New Roman" w:hAnsi="Times New Roman" w:cs="Times New Roman"/>
          <w:sz w:val="24"/>
          <w:szCs w:val="24"/>
        </w:rPr>
        <w:t>говско дружество с над 50%</w:t>
      </w:r>
      <w:r w:rsidRPr="00950BDF">
        <w:rPr>
          <w:rFonts w:ascii="Times New Roman" w:eastAsia="Times New Roman" w:hAnsi="Times New Roman" w:cs="Times New Roman"/>
          <w:sz w:val="24"/>
          <w:szCs w:val="24"/>
        </w:rPr>
        <w:t xml:space="preserve"> държавно участие в капитала), то ще попадне и в двете хипотези на пар. 1 (1) на Законопроекта. Още повече, в пар. 2 от Законопроекта е предвидено по изключение, изрично действие на закона </w:t>
      </w:r>
      <w:r w:rsidRPr="00950BDF">
        <w:rPr>
          <w:rFonts w:ascii="Times New Roman" w:eastAsia="Times New Roman" w:hAnsi="Times New Roman" w:cs="Times New Roman"/>
          <w:i/>
          <w:sz w:val="24"/>
          <w:szCs w:val="24"/>
        </w:rPr>
        <w:t>ех tunc</w:t>
      </w:r>
      <w:r w:rsidRPr="00950BDF">
        <w:rPr>
          <w:rFonts w:ascii="Times New Roman" w:eastAsia="Times New Roman" w:hAnsi="Times New Roman" w:cs="Times New Roman"/>
          <w:sz w:val="24"/>
          <w:szCs w:val="24"/>
        </w:rPr>
        <w:t>, с обратна сила, и всички започнати приватизационни процедури за сключване на сделки ще бъдат прекратени по закон.</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Следователно, процедура за приватизация на търговско дружество, в чийто капитал са апортирани активите от площадката на АЕЦ „Белене“</w:t>
      </w:r>
      <w:r w:rsidR="00092E37">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 xml:space="preserve"> и негов едноличен собственик на капитала е държавата или тър</w:t>
      </w:r>
      <w:r w:rsidR="00092E37">
        <w:rPr>
          <w:rFonts w:ascii="Times New Roman" w:eastAsia="Times New Roman" w:hAnsi="Times New Roman" w:cs="Times New Roman"/>
          <w:sz w:val="24"/>
          <w:szCs w:val="24"/>
        </w:rPr>
        <w:t>говско дружество с над 50%</w:t>
      </w:r>
      <w:r w:rsidRPr="00950BDF">
        <w:rPr>
          <w:rFonts w:ascii="Times New Roman" w:eastAsia="Times New Roman" w:hAnsi="Times New Roman" w:cs="Times New Roman"/>
          <w:sz w:val="24"/>
          <w:szCs w:val="24"/>
        </w:rPr>
        <w:t xml:space="preserve"> държавно участие в капитала си, съобразно с изложеното по-горе, ще бъде забранена, според този проект.</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Ако се учреди дъщерно дружество на НЕК, същото няма да попада в нито една от хипотезите на пар. 1(1) от Законопроекта за изменение на ЗПСК, тъй като НЕК е дъщерно дружество на БЕХ, следователно неговите (на НЕК) акции са собственост на друго търговско дружество. В този случай, НЕК ще трябва да продаде капитала на дъщерното си дружество, а е възможно НЕК да упълномощи Агенцията за приватизация да извърши продажбата.</w:t>
      </w:r>
    </w:p>
    <w:p w:rsid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Съгласно цитирания Законопроект, обособени части от имуществото на търговски дружества с пряко или опосредено държавно участие в капитала, могат да бъдат продавани само след решение на Народното събрание, по предложение на Министерския съвет. С приемането на предложените изменения ще може да се осъществи приватизационна сделка за продажба на АЕЦ „Белене“ като обособена част от НЕК само с разрешение на Народното събрание, по предложение на Министерския съвет.</w:t>
      </w:r>
    </w:p>
    <w:p w:rsidR="00395C54" w:rsidRPr="00950BDF" w:rsidRDefault="00395C54" w:rsidP="00E44C19">
      <w:pPr>
        <w:spacing w:before="120" w:after="120" w:line="240" w:lineRule="auto"/>
        <w:jc w:val="both"/>
        <w:rPr>
          <w:rFonts w:ascii="Times New Roman" w:eastAsia="Times New Roman" w:hAnsi="Times New Roman" w:cs="Times New Roman"/>
          <w:sz w:val="24"/>
          <w:szCs w:val="24"/>
        </w:rPr>
      </w:pPr>
    </w:p>
    <w:p w:rsidR="00950BDF" w:rsidRPr="00950BDF" w:rsidRDefault="00950BDF" w:rsidP="002A32DA">
      <w:pPr>
        <w:pStyle w:val="Heading1"/>
        <w:keepLines/>
        <w:numPr>
          <w:ilvl w:val="0"/>
          <w:numId w:val="8"/>
        </w:numPr>
        <w:spacing w:before="120" w:after="120"/>
        <w:ind w:left="284" w:hanging="284"/>
        <w:jc w:val="both"/>
        <w:rPr>
          <w:sz w:val="24"/>
          <w:szCs w:val="24"/>
        </w:rPr>
      </w:pPr>
      <w:bookmarkStart w:id="52" w:name="_Toc491994392"/>
      <w:bookmarkStart w:id="53" w:name="_Toc492991251"/>
      <w:bookmarkStart w:id="54" w:name="_Toc492991311"/>
      <w:bookmarkStart w:id="55" w:name="_Toc492991334"/>
      <w:r w:rsidRPr="00950BDF">
        <w:rPr>
          <w:sz w:val="24"/>
          <w:szCs w:val="24"/>
        </w:rPr>
        <w:t>Поддейност</w:t>
      </w:r>
      <w:r w:rsidR="004464CF">
        <w:rPr>
          <w:sz w:val="24"/>
          <w:szCs w:val="24"/>
          <w:lang w:val="bg-BG"/>
        </w:rPr>
        <w:t xml:space="preserve"> </w:t>
      </w:r>
      <w:r w:rsidRPr="00950BDF">
        <w:rPr>
          <w:sz w:val="24"/>
          <w:szCs w:val="24"/>
        </w:rPr>
        <w:t>V.4. Разработване на финансов модел за прогнозиране на паричнитепотоци от потенциалнотоизграждане на АЕЦ „Белене“</w:t>
      </w:r>
      <w:bookmarkEnd w:id="52"/>
      <w:bookmarkEnd w:id="53"/>
      <w:bookmarkEnd w:id="54"/>
      <w:bookmarkEnd w:id="55"/>
    </w:p>
    <w:p w:rsidR="00950BDF" w:rsidRPr="00395C54" w:rsidRDefault="00395C54" w:rsidP="00E44C19">
      <w:pPr>
        <w:pStyle w:val="Heading1"/>
        <w:spacing w:before="120" w:after="120"/>
        <w:rPr>
          <w:b w:val="0"/>
          <w:i/>
          <w:sz w:val="24"/>
          <w:szCs w:val="24"/>
        </w:rPr>
      </w:pPr>
      <w:bookmarkStart w:id="56" w:name="_Toc490477800"/>
      <w:bookmarkStart w:id="57" w:name="_Toc491994393"/>
      <w:bookmarkStart w:id="58" w:name="_Toc492991252"/>
      <w:bookmarkStart w:id="59" w:name="_Toc492991312"/>
      <w:bookmarkStart w:id="60" w:name="_Toc492991335"/>
      <w:r w:rsidRPr="00395C54">
        <w:rPr>
          <w:b w:val="0"/>
          <w:i/>
          <w:sz w:val="24"/>
          <w:szCs w:val="24"/>
        </w:rPr>
        <w:t>Въведение</w:t>
      </w:r>
      <w:bookmarkEnd w:id="56"/>
      <w:bookmarkEnd w:id="57"/>
      <w:bookmarkEnd w:id="58"/>
      <w:bookmarkEnd w:id="59"/>
      <w:bookmarkEnd w:id="60"/>
    </w:p>
    <w:p w:rsidR="00950BDF" w:rsidRPr="00950BDF" w:rsidRDefault="00D21643"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Т</w:t>
      </w:r>
      <w:r>
        <w:rPr>
          <w:rFonts w:ascii="Times New Roman" w:hAnsi="Times New Roman" w:cs="Times New Roman"/>
          <w:sz w:val="24"/>
          <w:szCs w:val="24"/>
        </w:rPr>
        <w:t>ази част</w:t>
      </w:r>
      <w:r w:rsidR="00950BDF" w:rsidRPr="00950BDF">
        <w:rPr>
          <w:rFonts w:ascii="Times New Roman" w:hAnsi="Times New Roman" w:cs="Times New Roman"/>
          <w:sz w:val="24"/>
          <w:szCs w:val="24"/>
        </w:rPr>
        <w:t xml:space="preserve"> представя резултатите от финансовите анализи на проекта за изграждане и функциониране на АЕЦ „Белене“. За нуждите на тези финансови анализи е разработен специален фи</w:t>
      </w:r>
      <w:r w:rsidR="005F0DB4">
        <w:rPr>
          <w:rFonts w:ascii="Times New Roman" w:hAnsi="Times New Roman" w:cs="Times New Roman"/>
          <w:sz w:val="24"/>
          <w:szCs w:val="24"/>
        </w:rPr>
        <w:t>нансов модел</w:t>
      </w:r>
      <w:r w:rsidR="00C76219">
        <w:rPr>
          <w:rFonts w:ascii="Times New Roman" w:hAnsi="Times New Roman" w:cs="Times New Roman"/>
          <w:sz w:val="24"/>
          <w:szCs w:val="24"/>
        </w:rPr>
        <w:t xml:space="preserve"> (приложен във файлов формат)</w:t>
      </w:r>
      <w:r w:rsidR="005F0DB4">
        <w:rPr>
          <w:rFonts w:ascii="Times New Roman" w:hAnsi="Times New Roman" w:cs="Times New Roman"/>
          <w:sz w:val="24"/>
          <w:szCs w:val="24"/>
        </w:rPr>
        <w:t>.</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Целта на финансовите анализи е да оцени жизнеспособността на проекта за изграждане и експлоатация на АЕЦ „Белене“. По-конкретно, благодарение на финансовите анализи, са изведени критични стойности и допускания, при които проектът става жизнеспособен.</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За постигане на целта са изпълнени следните основни задачи:</w:t>
      </w:r>
    </w:p>
    <w:p w:rsidR="00950BDF" w:rsidRPr="00950BDF" w:rsidRDefault="00950BDF" w:rsidP="002A32DA">
      <w:pPr>
        <w:numPr>
          <w:ilvl w:val="0"/>
          <w:numId w:val="25"/>
        </w:numPr>
        <w:spacing w:before="120" w:after="120" w:line="240" w:lineRule="auto"/>
        <w:ind w:left="284" w:hanging="284"/>
        <w:jc w:val="both"/>
        <w:rPr>
          <w:rFonts w:ascii="Times New Roman" w:hAnsi="Times New Roman" w:cs="Times New Roman"/>
          <w:sz w:val="24"/>
          <w:szCs w:val="24"/>
        </w:rPr>
      </w:pPr>
      <w:r w:rsidRPr="00950BDF">
        <w:rPr>
          <w:rFonts w:ascii="Times New Roman" w:hAnsi="Times New Roman" w:cs="Times New Roman"/>
          <w:sz w:val="24"/>
          <w:szCs w:val="24"/>
        </w:rPr>
        <w:t>Проучен е наличният опит за финансово моделиране на проекта, както и водещи практики в сектора на енергийните проекти.</w:t>
      </w:r>
    </w:p>
    <w:p w:rsidR="00950BDF" w:rsidRPr="00950BDF" w:rsidRDefault="00950BDF" w:rsidP="002A32DA">
      <w:pPr>
        <w:numPr>
          <w:ilvl w:val="0"/>
          <w:numId w:val="25"/>
        </w:numPr>
        <w:spacing w:before="120" w:after="120" w:line="240" w:lineRule="auto"/>
        <w:ind w:left="284" w:hanging="284"/>
        <w:jc w:val="both"/>
        <w:rPr>
          <w:rFonts w:ascii="Times New Roman" w:hAnsi="Times New Roman" w:cs="Times New Roman"/>
          <w:sz w:val="24"/>
          <w:szCs w:val="24"/>
        </w:rPr>
      </w:pPr>
      <w:r w:rsidRPr="00950BDF">
        <w:rPr>
          <w:rFonts w:ascii="Times New Roman" w:hAnsi="Times New Roman" w:cs="Times New Roman"/>
          <w:sz w:val="24"/>
          <w:szCs w:val="24"/>
        </w:rPr>
        <w:lastRenderedPageBreak/>
        <w:t>Събрана</w:t>
      </w:r>
      <w:r w:rsidR="004464CF">
        <w:rPr>
          <w:rFonts w:ascii="Times New Roman" w:hAnsi="Times New Roman" w:cs="Times New Roman"/>
          <w:sz w:val="24"/>
          <w:szCs w:val="24"/>
        </w:rPr>
        <w:t xml:space="preserve"> </w:t>
      </w:r>
      <w:r w:rsidRPr="00950BDF">
        <w:rPr>
          <w:rFonts w:ascii="Times New Roman" w:hAnsi="Times New Roman" w:cs="Times New Roman"/>
          <w:sz w:val="24"/>
          <w:szCs w:val="24"/>
        </w:rPr>
        <w:t xml:space="preserve">и актуализирана </w:t>
      </w:r>
      <w:r w:rsidR="00DC4051" w:rsidRPr="00950BDF">
        <w:rPr>
          <w:rFonts w:ascii="Times New Roman" w:hAnsi="Times New Roman" w:cs="Times New Roman"/>
          <w:sz w:val="24"/>
          <w:szCs w:val="24"/>
        </w:rPr>
        <w:t xml:space="preserve">е </w:t>
      </w:r>
      <w:r w:rsidRPr="00950BDF">
        <w:rPr>
          <w:rFonts w:ascii="Times New Roman" w:hAnsi="Times New Roman" w:cs="Times New Roman"/>
          <w:sz w:val="24"/>
          <w:szCs w:val="24"/>
        </w:rPr>
        <w:t xml:space="preserve">информация за състоянието на проекта, в т.ч. изготвен </w:t>
      </w:r>
      <w:r w:rsidR="00DC4051" w:rsidRPr="00950BDF">
        <w:rPr>
          <w:rFonts w:ascii="Times New Roman" w:hAnsi="Times New Roman" w:cs="Times New Roman"/>
          <w:sz w:val="24"/>
          <w:szCs w:val="24"/>
        </w:rPr>
        <w:t xml:space="preserve">е </w:t>
      </w:r>
      <w:r w:rsidRPr="00950BDF">
        <w:rPr>
          <w:rFonts w:ascii="Times New Roman" w:hAnsi="Times New Roman" w:cs="Times New Roman"/>
          <w:sz w:val="24"/>
          <w:szCs w:val="24"/>
        </w:rPr>
        <w:t>актуален бюджет на проекта.</w:t>
      </w:r>
    </w:p>
    <w:p w:rsidR="00950BDF" w:rsidRPr="00950BDF" w:rsidRDefault="00950BDF" w:rsidP="002A32DA">
      <w:pPr>
        <w:numPr>
          <w:ilvl w:val="0"/>
          <w:numId w:val="25"/>
        </w:numPr>
        <w:spacing w:before="120" w:after="120" w:line="240" w:lineRule="auto"/>
        <w:ind w:left="284" w:hanging="284"/>
        <w:jc w:val="both"/>
        <w:rPr>
          <w:rFonts w:ascii="Times New Roman" w:hAnsi="Times New Roman" w:cs="Times New Roman"/>
          <w:sz w:val="24"/>
          <w:szCs w:val="24"/>
        </w:rPr>
      </w:pPr>
      <w:r w:rsidRPr="00950BDF">
        <w:rPr>
          <w:rFonts w:ascii="Times New Roman" w:hAnsi="Times New Roman" w:cs="Times New Roman"/>
          <w:sz w:val="24"/>
          <w:szCs w:val="24"/>
        </w:rPr>
        <w:t>Подготвен е специален модел за нуждите на финансовите анализи.</w:t>
      </w:r>
    </w:p>
    <w:p w:rsidR="00950BDF" w:rsidRPr="00950BDF" w:rsidRDefault="00950BDF" w:rsidP="002A32DA">
      <w:pPr>
        <w:numPr>
          <w:ilvl w:val="0"/>
          <w:numId w:val="25"/>
        </w:numPr>
        <w:spacing w:before="120" w:after="120" w:line="240" w:lineRule="auto"/>
        <w:ind w:left="284" w:hanging="284"/>
        <w:jc w:val="both"/>
        <w:rPr>
          <w:rFonts w:ascii="Times New Roman" w:hAnsi="Times New Roman" w:cs="Times New Roman"/>
          <w:sz w:val="24"/>
          <w:szCs w:val="24"/>
        </w:rPr>
      </w:pPr>
      <w:r w:rsidRPr="00950BDF">
        <w:rPr>
          <w:rFonts w:ascii="Times New Roman" w:hAnsi="Times New Roman" w:cs="Times New Roman"/>
          <w:sz w:val="24"/>
          <w:szCs w:val="24"/>
        </w:rPr>
        <w:t>Събрана е актуална информация и са изведени основни допускания за захранване на финансовия модел. Извършени са изчисления и са получени изходни резултати за оценка на жизнеспособността на проекта.</w:t>
      </w:r>
    </w:p>
    <w:p w:rsidR="00950BDF" w:rsidRPr="00950BDF" w:rsidRDefault="00950BDF" w:rsidP="002A32DA">
      <w:pPr>
        <w:numPr>
          <w:ilvl w:val="0"/>
          <w:numId w:val="25"/>
        </w:numPr>
        <w:spacing w:before="120" w:after="120" w:line="240" w:lineRule="auto"/>
        <w:ind w:left="284" w:hanging="284"/>
        <w:jc w:val="both"/>
        <w:rPr>
          <w:rFonts w:ascii="Times New Roman" w:hAnsi="Times New Roman" w:cs="Times New Roman"/>
          <w:sz w:val="24"/>
          <w:szCs w:val="24"/>
        </w:rPr>
      </w:pPr>
      <w:r w:rsidRPr="00950BDF">
        <w:rPr>
          <w:rFonts w:ascii="Times New Roman" w:hAnsi="Times New Roman" w:cs="Times New Roman"/>
          <w:sz w:val="24"/>
          <w:szCs w:val="24"/>
        </w:rPr>
        <w:t>Събрана и анализирана е информация за основните числови параметри на подобни проекти. На тази основа са изведени еталонни стойности за сравнение с параметрите на проекта АЕЦ „Белене“.</w:t>
      </w:r>
    </w:p>
    <w:p w:rsidR="00950BDF" w:rsidRPr="00950BDF" w:rsidRDefault="00950BDF" w:rsidP="002A32DA">
      <w:pPr>
        <w:numPr>
          <w:ilvl w:val="0"/>
          <w:numId w:val="25"/>
        </w:numPr>
        <w:spacing w:before="120" w:after="120" w:line="240" w:lineRule="auto"/>
        <w:ind w:left="284" w:hanging="284"/>
        <w:jc w:val="both"/>
        <w:rPr>
          <w:rFonts w:ascii="Times New Roman" w:hAnsi="Times New Roman" w:cs="Times New Roman"/>
          <w:sz w:val="24"/>
          <w:szCs w:val="24"/>
        </w:rPr>
      </w:pPr>
      <w:r w:rsidRPr="00950BDF">
        <w:rPr>
          <w:rFonts w:ascii="Times New Roman" w:hAnsi="Times New Roman" w:cs="Times New Roman"/>
          <w:sz w:val="24"/>
          <w:szCs w:val="24"/>
        </w:rPr>
        <w:t>Извършена е верификация на получените резултати и е подготвен настоящия доклад.</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В доклада е използвана информация и прогнози от други предходни дейности на проекта. Тези входни данни са посочени като източници и не са дискутирани в доклада.</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Подходът, който е използван при разработката</w:t>
      </w:r>
      <w:r w:rsidR="00DC4051">
        <w:rPr>
          <w:rFonts w:ascii="Times New Roman" w:hAnsi="Times New Roman" w:cs="Times New Roman"/>
          <w:sz w:val="24"/>
          <w:szCs w:val="24"/>
        </w:rPr>
        <w:t>,</w:t>
      </w:r>
      <w:r w:rsidRPr="00950BDF">
        <w:rPr>
          <w:rFonts w:ascii="Times New Roman" w:hAnsi="Times New Roman" w:cs="Times New Roman"/>
          <w:sz w:val="24"/>
          <w:szCs w:val="24"/>
        </w:rPr>
        <w:t xml:space="preserve"> е:</w:t>
      </w:r>
    </w:p>
    <w:p w:rsidR="00950BDF" w:rsidRPr="00950BDF" w:rsidRDefault="00950BDF" w:rsidP="002A32DA">
      <w:pPr>
        <w:numPr>
          <w:ilvl w:val="0"/>
          <w:numId w:val="25"/>
        </w:numPr>
        <w:spacing w:before="120" w:after="120" w:line="240" w:lineRule="auto"/>
        <w:ind w:left="284" w:hanging="284"/>
        <w:jc w:val="both"/>
        <w:rPr>
          <w:rFonts w:ascii="Times New Roman" w:hAnsi="Times New Roman" w:cs="Times New Roman"/>
          <w:sz w:val="24"/>
          <w:szCs w:val="24"/>
        </w:rPr>
      </w:pPr>
      <w:r w:rsidRPr="00950BDF">
        <w:rPr>
          <w:rFonts w:ascii="Times New Roman" w:hAnsi="Times New Roman" w:cs="Times New Roman"/>
          <w:b/>
          <w:sz w:val="24"/>
          <w:szCs w:val="24"/>
        </w:rPr>
        <w:t>клиентски ориентиран</w:t>
      </w:r>
      <w:r w:rsidRPr="00950BDF">
        <w:rPr>
          <w:rFonts w:ascii="Times New Roman" w:hAnsi="Times New Roman" w:cs="Times New Roman"/>
          <w:sz w:val="24"/>
          <w:szCs w:val="24"/>
        </w:rPr>
        <w:t>, защото е изцяло насочен към нуждите на Възложителя и позволява вариативно използване на модела, както за вземане на решение за използване на наличните активи по проекта, така и по време на преговори с потенциални инвеститори за изграждане на централата, а след това и при преговори с банки и финансови институции за отпускане на кредит за строителство. Моделът и базата данни могат да се използват и за нуждите на бизнес планирането по време на експлоатация на централата.</w:t>
      </w:r>
    </w:p>
    <w:p w:rsidR="00950BDF" w:rsidRPr="00950BDF" w:rsidRDefault="00950BDF" w:rsidP="002A32DA">
      <w:pPr>
        <w:numPr>
          <w:ilvl w:val="0"/>
          <w:numId w:val="25"/>
        </w:numPr>
        <w:spacing w:before="120" w:after="120" w:line="240" w:lineRule="auto"/>
        <w:ind w:left="284" w:hanging="284"/>
        <w:jc w:val="both"/>
        <w:rPr>
          <w:rFonts w:ascii="Times New Roman" w:hAnsi="Times New Roman" w:cs="Times New Roman"/>
          <w:sz w:val="24"/>
          <w:szCs w:val="24"/>
        </w:rPr>
      </w:pPr>
      <w:r w:rsidRPr="00950BDF">
        <w:rPr>
          <w:rFonts w:ascii="Times New Roman" w:hAnsi="Times New Roman" w:cs="Times New Roman"/>
          <w:b/>
          <w:sz w:val="24"/>
          <w:szCs w:val="24"/>
        </w:rPr>
        <w:t>научно аргументиран и обоснован</w:t>
      </w:r>
      <w:r w:rsidRPr="00950BDF">
        <w:rPr>
          <w:rFonts w:ascii="Times New Roman" w:hAnsi="Times New Roman" w:cs="Times New Roman"/>
          <w:sz w:val="24"/>
          <w:szCs w:val="24"/>
        </w:rPr>
        <w:t>, защото за създаването на допусканията и базата данни на модела са използвани както минал опит и информация от предишни подобни упражнения, така и консултации със специалисти от сектора. Допълнително е извършена верификация на входни и изходни данни чрез сравняване с референтни стойности на други подобни проекти и препоръки от авторитетни международни организации и консултантски фирми.</w:t>
      </w:r>
    </w:p>
    <w:p w:rsidR="00950BDF" w:rsidRPr="00950BDF" w:rsidRDefault="00950BDF" w:rsidP="002A32DA">
      <w:pPr>
        <w:numPr>
          <w:ilvl w:val="0"/>
          <w:numId w:val="25"/>
        </w:numPr>
        <w:spacing w:before="120" w:after="120" w:line="240" w:lineRule="auto"/>
        <w:ind w:left="284" w:hanging="284"/>
        <w:jc w:val="both"/>
        <w:rPr>
          <w:rFonts w:ascii="Times New Roman" w:hAnsi="Times New Roman" w:cs="Times New Roman"/>
          <w:sz w:val="24"/>
          <w:szCs w:val="24"/>
        </w:rPr>
      </w:pPr>
      <w:r w:rsidRPr="00950BDF">
        <w:rPr>
          <w:rFonts w:ascii="Times New Roman" w:hAnsi="Times New Roman" w:cs="Times New Roman"/>
          <w:b/>
          <w:sz w:val="24"/>
          <w:szCs w:val="24"/>
        </w:rPr>
        <w:t>холистичен</w:t>
      </w:r>
      <w:r w:rsidRPr="00950BDF">
        <w:rPr>
          <w:rFonts w:ascii="Times New Roman" w:hAnsi="Times New Roman" w:cs="Times New Roman"/>
          <w:sz w:val="24"/>
          <w:szCs w:val="24"/>
        </w:rPr>
        <w:t xml:space="preserve">, защото изпълнението на тази дейност е логически свързана и представлява естествено продължение и завършек на другите предходни дейности на проекта, които се отнасят до бъдещо развитие на икономиката, битовия сектор, навлизането на новите технологии, установяване на нуждите от електропотребление в страната и региона в дългосрочен хоризонт, перспективите за износ на електроенергия, навлизането и излизането на енергийни мощности в страната, в т.ч. изграждането на нови ВЕИ, изследване на либерализацията на пазара на електроенергия, прогнозиране </w:t>
      </w:r>
      <w:r w:rsidR="00DC4051">
        <w:rPr>
          <w:rFonts w:ascii="Times New Roman" w:hAnsi="Times New Roman" w:cs="Times New Roman"/>
          <w:sz w:val="24"/>
          <w:szCs w:val="24"/>
        </w:rPr>
        <w:t xml:space="preserve">на </w:t>
      </w:r>
      <w:r w:rsidRPr="00950BDF">
        <w:rPr>
          <w:rFonts w:ascii="Times New Roman" w:hAnsi="Times New Roman" w:cs="Times New Roman"/>
          <w:sz w:val="24"/>
          <w:szCs w:val="24"/>
        </w:rPr>
        <w:t xml:space="preserve">динамиката на цените на основните енергоносители и на електроенергията в страната и на регионалния пазар, изследване на съществуващата правна рамка за изграждане на нова ядрена мощност.  </w:t>
      </w:r>
    </w:p>
    <w:p w:rsidR="00950BDF" w:rsidRPr="00950BDF" w:rsidRDefault="00950BDF" w:rsidP="00E44C19">
      <w:pPr>
        <w:spacing w:before="120" w:after="120" w:line="240" w:lineRule="auto"/>
        <w:jc w:val="both"/>
        <w:rPr>
          <w:rFonts w:ascii="Times New Roman" w:hAnsi="Times New Roman" w:cs="Times New Roman"/>
          <w:sz w:val="24"/>
          <w:szCs w:val="24"/>
        </w:rPr>
      </w:pPr>
      <w:r w:rsidRPr="00534E0A">
        <w:rPr>
          <w:rFonts w:ascii="Times New Roman" w:hAnsi="Times New Roman" w:cs="Times New Roman"/>
          <w:sz w:val="24"/>
          <w:szCs w:val="24"/>
        </w:rPr>
        <w:t xml:space="preserve">Структурата на </w:t>
      </w:r>
      <w:r w:rsidR="00534E0A" w:rsidRPr="00534E0A">
        <w:rPr>
          <w:rFonts w:ascii="Times New Roman" w:hAnsi="Times New Roman" w:cs="Times New Roman"/>
          <w:sz w:val="24"/>
          <w:szCs w:val="24"/>
        </w:rPr>
        <w:t>материала</w:t>
      </w:r>
      <w:r w:rsidR="00010DC4">
        <w:rPr>
          <w:rFonts w:ascii="Times New Roman" w:hAnsi="Times New Roman" w:cs="Times New Roman"/>
          <w:sz w:val="24"/>
          <w:szCs w:val="24"/>
        </w:rPr>
        <w:t xml:space="preserve"> </w:t>
      </w:r>
      <w:r w:rsidR="00534E0A" w:rsidRPr="00534E0A">
        <w:rPr>
          <w:rFonts w:ascii="Times New Roman" w:hAnsi="Times New Roman" w:cs="Times New Roman"/>
          <w:sz w:val="24"/>
          <w:szCs w:val="24"/>
        </w:rPr>
        <w:t xml:space="preserve">на Поддейност V.4. </w:t>
      </w:r>
      <w:r w:rsidRPr="00534E0A">
        <w:rPr>
          <w:rFonts w:ascii="Times New Roman" w:hAnsi="Times New Roman" w:cs="Times New Roman"/>
          <w:sz w:val="24"/>
          <w:szCs w:val="24"/>
        </w:rPr>
        <w:t>се състои от 3 части.</w:t>
      </w:r>
      <w:r w:rsidRPr="00950BDF">
        <w:rPr>
          <w:rFonts w:ascii="Times New Roman" w:hAnsi="Times New Roman" w:cs="Times New Roman"/>
          <w:sz w:val="24"/>
          <w:szCs w:val="24"/>
        </w:rPr>
        <w:t xml:space="preserve"> В първа част се представя историята на проекта, предвидената за използване технология и текущото му състояние. Отделено е място и за дискутиране на проблемите, свързани с финансирането на проекта.</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 xml:space="preserve">Втората част е посветена на финансовия модел. Той е представен като логика и основно съдържание. Изложени са основните допускания и входни данни на модела, както и информационните източници. В тази част активно са използвани еталонни сравнения по отделни показатели или групи показатели за тестване </w:t>
      </w:r>
      <w:r w:rsidR="00DC4051">
        <w:rPr>
          <w:rFonts w:ascii="Times New Roman" w:hAnsi="Times New Roman" w:cs="Times New Roman"/>
          <w:sz w:val="24"/>
          <w:szCs w:val="24"/>
        </w:rPr>
        <w:t xml:space="preserve">на </w:t>
      </w:r>
      <w:r w:rsidRPr="00950BDF">
        <w:rPr>
          <w:rFonts w:ascii="Times New Roman" w:hAnsi="Times New Roman" w:cs="Times New Roman"/>
          <w:sz w:val="24"/>
          <w:szCs w:val="24"/>
        </w:rPr>
        <w:t xml:space="preserve">надеждността на използваните данни. Формулирани са </w:t>
      </w:r>
      <w:r w:rsidR="00180DC3">
        <w:rPr>
          <w:rFonts w:ascii="Times New Roman" w:hAnsi="Times New Roman" w:cs="Times New Roman"/>
          <w:sz w:val="24"/>
          <w:szCs w:val="24"/>
        </w:rPr>
        <w:t xml:space="preserve">няколко </w:t>
      </w:r>
      <w:r w:rsidRPr="00950BDF">
        <w:rPr>
          <w:rFonts w:ascii="Times New Roman" w:hAnsi="Times New Roman" w:cs="Times New Roman"/>
          <w:sz w:val="24"/>
          <w:szCs w:val="24"/>
        </w:rPr>
        <w:t>вариант</w:t>
      </w:r>
      <w:r w:rsidR="00180DC3">
        <w:rPr>
          <w:rFonts w:ascii="Times New Roman" w:hAnsi="Times New Roman" w:cs="Times New Roman"/>
          <w:sz w:val="24"/>
          <w:szCs w:val="24"/>
        </w:rPr>
        <w:t>а</w:t>
      </w:r>
      <w:r w:rsidRPr="00950BDF">
        <w:rPr>
          <w:rFonts w:ascii="Times New Roman" w:hAnsi="Times New Roman" w:cs="Times New Roman"/>
          <w:sz w:val="24"/>
          <w:szCs w:val="24"/>
        </w:rPr>
        <w:t xml:space="preserve"> на структура на собствения </w:t>
      </w:r>
      <w:r w:rsidRPr="00950BDF">
        <w:rPr>
          <w:rFonts w:ascii="Times New Roman" w:hAnsi="Times New Roman" w:cs="Times New Roman"/>
          <w:sz w:val="24"/>
          <w:szCs w:val="24"/>
        </w:rPr>
        <w:lastRenderedPageBreak/>
        <w:t>капитал, съотношение между собствен и привлечен капитал</w:t>
      </w:r>
      <w:r w:rsidR="00DC4051">
        <w:rPr>
          <w:rFonts w:ascii="Times New Roman" w:hAnsi="Times New Roman" w:cs="Times New Roman"/>
          <w:sz w:val="24"/>
          <w:szCs w:val="24"/>
        </w:rPr>
        <w:t>,</w:t>
      </w:r>
      <w:r w:rsidRPr="00950BDF">
        <w:rPr>
          <w:rFonts w:ascii="Times New Roman" w:hAnsi="Times New Roman" w:cs="Times New Roman"/>
          <w:sz w:val="24"/>
          <w:szCs w:val="24"/>
        </w:rPr>
        <w:t xml:space="preserve"> и са избрани 5 прогнозни цени за изкупуване на електроенергията.</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В третата част са представени основните резултати и изводи от финансовите анализи. Изследвани са промените на нетната настояща стойност и вътрешната норма на възвръщаемост в зависимост от промените на цените и натоварването на мощностите на централата.</w:t>
      </w:r>
    </w:p>
    <w:p w:rsidR="00950BDF" w:rsidRPr="00950BDF" w:rsidRDefault="00950BDF" w:rsidP="00DB1A1E">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 xml:space="preserve">В </w:t>
      </w:r>
      <w:r w:rsidR="00671642">
        <w:rPr>
          <w:rFonts w:ascii="Times New Roman" w:hAnsi="Times New Roman" w:cs="Times New Roman"/>
          <w:sz w:val="24"/>
          <w:szCs w:val="24"/>
        </w:rPr>
        <w:t>настоящата</w:t>
      </w:r>
      <w:r w:rsidR="004464CF">
        <w:rPr>
          <w:rFonts w:ascii="Times New Roman" w:hAnsi="Times New Roman" w:cs="Times New Roman"/>
          <w:sz w:val="24"/>
          <w:szCs w:val="24"/>
        </w:rPr>
        <w:t xml:space="preserve"> </w:t>
      </w:r>
      <w:r w:rsidRPr="00950BDF">
        <w:rPr>
          <w:rFonts w:ascii="Times New Roman" w:hAnsi="Times New Roman" w:cs="Times New Roman"/>
          <w:sz w:val="24"/>
          <w:szCs w:val="24"/>
        </w:rPr>
        <w:t xml:space="preserve">версия </w:t>
      </w:r>
      <w:r w:rsidR="00671642">
        <w:rPr>
          <w:rFonts w:ascii="Times New Roman" w:hAnsi="Times New Roman" w:cs="Times New Roman"/>
          <w:sz w:val="24"/>
          <w:szCs w:val="24"/>
        </w:rPr>
        <w:t xml:space="preserve">на материала </w:t>
      </w:r>
      <w:r w:rsidRPr="00950BDF">
        <w:rPr>
          <w:rFonts w:ascii="Times New Roman" w:hAnsi="Times New Roman" w:cs="Times New Roman"/>
          <w:sz w:val="24"/>
          <w:szCs w:val="24"/>
        </w:rPr>
        <w:t>са взети предвид всички коментари на Възложителя</w:t>
      </w:r>
      <w:r w:rsidR="00C76219">
        <w:rPr>
          <w:rFonts w:ascii="Times New Roman" w:hAnsi="Times New Roman" w:cs="Times New Roman"/>
          <w:sz w:val="24"/>
          <w:szCs w:val="24"/>
        </w:rPr>
        <w:t>, направени в хода на две предварителни обсъждания.Също така те са отразени във финансовия модел.</w:t>
      </w:r>
    </w:p>
    <w:p w:rsidR="00950BDF" w:rsidRPr="00950BDF" w:rsidRDefault="00950BDF" w:rsidP="00E44C19">
      <w:pPr>
        <w:spacing w:before="120" w:after="120" w:line="240" w:lineRule="auto"/>
        <w:rPr>
          <w:rFonts w:ascii="Times New Roman" w:eastAsia="Times New Roman" w:hAnsi="Times New Roman" w:cs="Times New Roman"/>
          <w:sz w:val="24"/>
          <w:szCs w:val="24"/>
        </w:rPr>
      </w:pPr>
    </w:p>
    <w:p w:rsidR="00950BDF" w:rsidRPr="00395C54" w:rsidRDefault="00950BDF" w:rsidP="002A32DA">
      <w:pPr>
        <w:pStyle w:val="Heading2"/>
        <w:numPr>
          <w:ilvl w:val="1"/>
          <w:numId w:val="23"/>
        </w:numPr>
        <w:spacing w:before="120" w:after="120" w:line="240" w:lineRule="auto"/>
        <w:ind w:left="426" w:hanging="426"/>
        <w:jc w:val="both"/>
        <w:rPr>
          <w:rFonts w:ascii="Times New Roman" w:hAnsi="Times New Roman" w:cs="Times New Roman"/>
          <w:b w:val="0"/>
          <w:i/>
          <w:color w:val="auto"/>
          <w:sz w:val="24"/>
          <w:szCs w:val="24"/>
        </w:rPr>
      </w:pPr>
      <w:bookmarkStart w:id="61" w:name="_Toc489886920"/>
      <w:bookmarkStart w:id="62" w:name="_Toc491994394"/>
      <w:bookmarkStart w:id="63" w:name="_Toc492991253"/>
      <w:bookmarkStart w:id="64" w:name="_Toc492991313"/>
      <w:bookmarkStart w:id="65" w:name="_Toc492991336"/>
      <w:r w:rsidRPr="00395C54">
        <w:rPr>
          <w:rFonts w:ascii="Times New Roman" w:hAnsi="Times New Roman" w:cs="Times New Roman"/>
          <w:b w:val="0"/>
          <w:i/>
          <w:color w:val="auto"/>
          <w:sz w:val="24"/>
          <w:szCs w:val="24"/>
        </w:rPr>
        <w:t>Проектът</w:t>
      </w:r>
      <w:bookmarkEnd w:id="61"/>
      <w:r w:rsidRPr="00395C54">
        <w:rPr>
          <w:rFonts w:ascii="Times New Roman" w:hAnsi="Times New Roman" w:cs="Times New Roman"/>
          <w:b w:val="0"/>
          <w:i/>
          <w:color w:val="auto"/>
          <w:sz w:val="24"/>
          <w:szCs w:val="24"/>
        </w:rPr>
        <w:t xml:space="preserve"> АЕЦ „Белене“</w:t>
      </w:r>
      <w:bookmarkEnd w:id="62"/>
      <w:bookmarkEnd w:id="63"/>
      <w:bookmarkEnd w:id="64"/>
      <w:bookmarkEnd w:id="65"/>
    </w:p>
    <w:p w:rsidR="00950BDF" w:rsidRPr="00395C54" w:rsidRDefault="00950BDF" w:rsidP="002A32DA">
      <w:pPr>
        <w:pStyle w:val="Heading3"/>
        <w:numPr>
          <w:ilvl w:val="2"/>
          <w:numId w:val="12"/>
        </w:numPr>
        <w:spacing w:before="120" w:after="120" w:line="240" w:lineRule="auto"/>
        <w:ind w:left="567" w:hanging="567"/>
        <w:jc w:val="both"/>
        <w:rPr>
          <w:rFonts w:ascii="Times New Roman" w:hAnsi="Times New Roman" w:cs="Times New Roman"/>
          <w:b w:val="0"/>
          <w:color w:val="auto"/>
          <w:sz w:val="24"/>
          <w:szCs w:val="24"/>
          <w:u w:val="single"/>
        </w:rPr>
      </w:pPr>
      <w:bookmarkStart w:id="66" w:name="_Toc489886921"/>
      <w:bookmarkStart w:id="67" w:name="_Toc491994395"/>
      <w:bookmarkStart w:id="68" w:name="_Toc492991254"/>
      <w:bookmarkStart w:id="69" w:name="_Toc492991314"/>
      <w:bookmarkStart w:id="70" w:name="_Toc492991337"/>
      <w:r w:rsidRPr="00395C54">
        <w:rPr>
          <w:rFonts w:ascii="Times New Roman" w:hAnsi="Times New Roman" w:cs="Times New Roman"/>
          <w:b w:val="0"/>
          <w:color w:val="auto"/>
          <w:sz w:val="24"/>
          <w:szCs w:val="24"/>
          <w:u w:val="single"/>
        </w:rPr>
        <w:t>Състояние на проекта – идея, технология, развитие на проекта, текущо състояние</w:t>
      </w:r>
      <w:bookmarkEnd w:id="66"/>
      <w:bookmarkEnd w:id="67"/>
      <w:bookmarkEnd w:id="68"/>
      <w:bookmarkEnd w:id="69"/>
      <w:bookmarkEnd w:id="70"/>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 xml:space="preserve">Проучванията на подходяща площадка за строителство на втора АЕЦ в страната започват в началото на 70-те години на миналия век. До 1979 г. са изследвани около 25 потенциални площадки, като за три от тях </w:t>
      </w:r>
      <w:r w:rsidR="00D81934">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 xml:space="preserve"> Белене, Вардим и Батим, това е направено подробно.</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 xml:space="preserve">Първото правителствено решение за строителство на </w:t>
      </w:r>
      <w:r w:rsidRPr="00950BDF">
        <w:rPr>
          <w:rFonts w:ascii="Times New Roman" w:hAnsi="Times New Roman" w:cs="Times New Roman"/>
          <w:sz w:val="24"/>
          <w:szCs w:val="24"/>
        </w:rPr>
        <w:t xml:space="preserve">АЕЦ „Белене“ с </w:t>
      </w:r>
      <w:r w:rsidRPr="00950BDF">
        <w:rPr>
          <w:rFonts w:ascii="Times New Roman" w:eastAsia="Times New Roman" w:hAnsi="Times New Roman" w:cs="Times New Roman"/>
          <w:sz w:val="24"/>
          <w:szCs w:val="24"/>
        </w:rPr>
        <w:t>4 блока</w:t>
      </w:r>
      <w:r w:rsidRPr="00950BDF">
        <w:rPr>
          <w:rFonts w:ascii="Times New Roman" w:hAnsi="Times New Roman" w:cs="Times New Roman"/>
          <w:sz w:val="24"/>
          <w:szCs w:val="24"/>
        </w:rPr>
        <w:t xml:space="preserve"> е взето на </w:t>
      </w:r>
      <w:r w:rsidRPr="00950BDF">
        <w:rPr>
          <w:rFonts w:ascii="Times New Roman" w:eastAsia="Times New Roman" w:hAnsi="Times New Roman" w:cs="Times New Roman"/>
          <w:sz w:val="24"/>
          <w:szCs w:val="24"/>
        </w:rPr>
        <w:t>20</w:t>
      </w:r>
      <w:r w:rsidR="00D81934">
        <w:rPr>
          <w:rFonts w:ascii="Times New Roman" w:eastAsia="Times New Roman" w:hAnsi="Times New Roman" w:cs="Times New Roman"/>
          <w:sz w:val="24"/>
          <w:szCs w:val="24"/>
        </w:rPr>
        <w:t>.03.</w:t>
      </w:r>
      <w:r w:rsidRPr="00950BDF">
        <w:rPr>
          <w:rFonts w:ascii="Times New Roman" w:eastAsia="Times New Roman" w:hAnsi="Times New Roman" w:cs="Times New Roman"/>
          <w:sz w:val="24"/>
          <w:szCs w:val="24"/>
        </w:rPr>
        <w:t xml:space="preserve">1981 г. След това до 1987 г. е подготвен технически проект за изграждане на централата. Предвидено е да се използват съветски реактори от типа ВВЕР-1000/V-320. Междувременно през 1985 г. започва изпълнение на подготвителните работи, като площите се изравняват и повдигат, изгражда се строителна, монтажна и складова база и административно битов комплекс. През 1987 г. започва изпълнението на строителните работи. До края на 1989 г. реакторният корпус на </w:t>
      </w:r>
      <w:r w:rsidR="00D81934">
        <w:rPr>
          <w:rFonts w:ascii="Times New Roman" w:eastAsia="Times New Roman" w:hAnsi="Times New Roman" w:cs="Times New Roman"/>
          <w:sz w:val="24"/>
          <w:szCs w:val="24"/>
        </w:rPr>
        <w:t>1-ви блок е изграден до кота 13.</w:t>
      </w:r>
      <w:r w:rsidRPr="00950BDF">
        <w:rPr>
          <w:rFonts w:ascii="Times New Roman" w:eastAsia="Times New Roman" w:hAnsi="Times New Roman" w:cs="Times New Roman"/>
          <w:sz w:val="24"/>
          <w:szCs w:val="24"/>
        </w:rPr>
        <w:t>2 м, доставено е оборудването на първи контур и е достигната степен на завършеност СМР на около 40%.</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През май 1990 г.</w:t>
      </w:r>
      <w:r w:rsidR="00D81934">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 xml:space="preserve"> поради липса на финанси, правителството взема решение за изграждане на два блока. През 1991 г. следващото правителство на страната взема решение за замразяване на проекта. Основното оборудване е консервирано и всяка година се прави технически преглед.</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 xml:space="preserve">През декември 2002 г. правителството отменя решението от 1991 г. за замразяване на проекта. През ноември 2004 г. е одобрен от МОСВ доклад за ОВОС на проекта. През </w:t>
      </w:r>
      <w:r w:rsidR="00D81934">
        <w:rPr>
          <w:rFonts w:ascii="Times New Roman" w:eastAsia="Times New Roman" w:hAnsi="Times New Roman" w:cs="Times New Roman"/>
          <w:sz w:val="24"/>
          <w:szCs w:val="24"/>
        </w:rPr>
        <w:t>декември 2004 г.</w:t>
      </w:r>
      <w:r w:rsidRPr="00950BDF">
        <w:rPr>
          <w:rFonts w:ascii="Times New Roman" w:eastAsia="Times New Roman" w:hAnsi="Times New Roman" w:cs="Times New Roman"/>
          <w:sz w:val="24"/>
          <w:szCs w:val="24"/>
        </w:rPr>
        <w:t xml:space="preserve"> Националната електрическа компания (НЕК) избира „Парсънс Европа“ и „Риск Инженеринг“ да изготвят технически проект и да надзирават строежа на АЕЦ „Белене“. През февруари 2005 г. НЕК избира „Делойт“ Централна Европа и „Нортън Роуз“ за финансови консултанти на проекта.</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 xml:space="preserve">С Решение No 260 от </w:t>
      </w:r>
      <w:r w:rsidR="00D81934">
        <w:rPr>
          <w:rFonts w:ascii="Times New Roman" w:eastAsia="Times New Roman" w:hAnsi="Times New Roman" w:cs="Times New Roman"/>
          <w:sz w:val="24"/>
          <w:szCs w:val="24"/>
        </w:rPr>
        <w:t>0</w:t>
      </w:r>
      <w:r w:rsidRPr="00950BDF">
        <w:rPr>
          <w:rFonts w:ascii="Times New Roman" w:eastAsia="Times New Roman" w:hAnsi="Times New Roman" w:cs="Times New Roman"/>
          <w:sz w:val="24"/>
          <w:szCs w:val="24"/>
        </w:rPr>
        <w:t>8</w:t>
      </w:r>
      <w:r w:rsidR="00D81934">
        <w:rPr>
          <w:rFonts w:ascii="Times New Roman" w:eastAsia="Times New Roman" w:hAnsi="Times New Roman" w:cs="Times New Roman"/>
          <w:sz w:val="24"/>
          <w:szCs w:val="24"/>
        </w:rPr>
        <w:t>.04.</w:t>
      </w:r>
      <w:r w:rsidRPr="00950BDF">
        <w:rPr>
          <w:rFonts w:ascii="Times New Roman" w:eastAsia="Times New Roman" w:hAnsi="Times New Roman" w:cs="Times New Roman"/>
          <w:sz w:val="24"/>
          <w:szCs w:val="24"/>
        </w:rPr>
        <w:t xml:space="preserve">2005 г. на Министерски съвет на Република България се възобновява работата по изграждането на АЕЦ </w:t>
      </w:r>
      <w:r w:rsidR="00D81934">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 xml:space="preserve">Белене” с мощност 2000 </w:t>
      </w:r>
      <w:r w:rsidR="00D81934" w:rsidRPr="00950BDF">
        <w:rPr>
          <w:rFonts w:ascii="Times New Roman" w:eastAsia="Times New Roman" w:hAnsi="Times New Roman" w:cs="Times New Roman"/>
          <w:sz w:val="24"/>
          <w:szCs w:val="24"/>
        </w:rPr>
        <w:t>МW</w:t>
      </w:r>
      <w:r w:rsidRPr="00950BDF">
        <w:rPr>
          <w:rFonts w:ascii="Times New Roman" w:eastAsia="Times New Roman" w:hAnsi="Times New Roman" w:cs="Times New Roman"/>
          <w:sz w:val="24"/>
          <w:szCs w:val="24"/>
        </w:rPr>
        <w:t>. Тогава започва подготовката на процедура за търсене на доставчик за двата реактора (Руски тип ВВЕР 1000).</w:t>
      </w:r>
    </w:p>
    <w:p w:rsidR="00950BDF" w:rsidRPr="00950BDF" w:rsidRDefault="00D81934" w:rsidP="00E44C19">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През 2005 г.</w:t>
      </w:r>
      <w:r w:rsidR="00950BDF" w:rsidRPr="00950BDF">
        <w:rPr>
          <w:rFonts w:ascii="Times New Roman" w:eastAsia="Times New Roman" w:hAnsi="Times New Roman" w:cs="Times New Roman"/>
          <w:sz w:val="24"/>
          <w:szCs w:val="24"/>
        </w:rPr>
        <w:t xml:space="preserve"> НЕК обявява процедура за възлагане на обществена поръчка за изпълнение на договор за завършване на проектирането и за изграждане, въвеждане в експлоатация на двата блока на АЕЦ </w:t>
      </w:r>
      <w:r>
        <w:rPr>
          <w:rFonts w:ascii="Times New Roman" w:eastAsia="Times New Roman" w:hAnsi="Times New Roman" w:cs="Times New Roman"/>
          <w:sz w:val="24"/>
          <w:szCs w:val="24"/>
        </w:rPr>
        <w:t>„</w:t>
      </w:r>
      <w:r w:rsidR="00950BDF" w:rsidRPr="00950BDF">
        <w:rPr>
          <w:rFonts w:ascii="Times New Roman" w:eastAsia="Times New Roman" w:hAnsi="Times New Roman" w:cs="Times New Roman"/>
          <w:sz w:val="24"/>
          <w:szCs w:val="24"/>
        </w:rPr>
        <w:t>Белене”. През октомври 2006 г. НЕК обявява руската ЗАО "Атомстройекспорт" (АСЕ) в консорциум с АREVA NP (Франция) и Siemens (Германия) като основни подизпълнители за победител в процедурата.</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lastRenderedPageBreak/>
        <w:t xml:space="preserve">Обхватът на проекта съдържа проектиране, изграждане, въвеждане в експлоатация на сградите, съоръженията и инсталациите, разположени на площадката, които имат основно, спомагателно и обслужващо предназначение, и които са пряко необходими за въвеждането в експлоатация и експлоатацията на блок № 1 и № 2 на АЕЦ </w:t>
      </w:r>
      <w:r w:rsidR="00D81934">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 xml:space="preserve">Белене” (изграждане </w:t>
      </w:r>
      <w:r w:rsidR="00D81934">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 xml:space="preserve">до ключ”). ЗАО </w:t>
      </w:r>
      <w:r w:rsidR="00D81934">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Атомстройекспорт</w:t>
      </w:r>
      <w:r w:rsidR="00D81934">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 xml:space="preserve"> изпълнява задълженията си по споразумението.</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 xml:space="preserve">Проектът на АЕЦ </w:t>
      </w:r>
      <w:r w:rsidR="00D81934">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 xml:space="preserve">Белене” включва два еднотипни блока с мощност 1000 МW и спомагателни сгради и съоръжения. Реакторната инсталация е ВВЕР-1000 (В-466Б). Това е еволюционен проект, който използва резултатите от натрупания многогодишен опит в проектирането и експлоатацията на реактори с топлоносител </w:t>
      </w:r>
      <w:r w:rsidR="00D81934">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 xml:space="preserve"> вода под налягане и го съчетава със съвременни технически решения и нововъведения. </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 xml:space="preserve">Проектът е разработен от руската компания ЗАО </w:t>
      </w:r>
      <w:r w:rsidR="00D81934">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Атомстройекспорт</w:t>
      </w:r>
      <w:r w:rsidR="00D81934">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 xml:space="preserve"> (АСЕ), която е част от държавна корпорация </w:t>
      </w:r>
      <w:r w:rsidR="00D81934">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Росатом</w:t>
      </w:r>
      <w:r w:rsidR="00D81934">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 xml:space="preserve">, в рамките на сключеното през ноември 2006 г. с българската компания </w:t>
      </w:r>
      <w:r w:rsidR="00D81934">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 xml:space="preserve">НЕК” ЕАД договорно споразумение за изграждане на АЕЦ </w:t>
      </w:r>
      <w:r w:rsidR="00D81934">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Белене</w:t>
      </w:r>
      <w:r w:rsidR="00D81934">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 xml:space="preserve">. Споразумението включва задължение за осъществяване на дейности по инженеринг, доставка и строителство на блокове 1 и 2 на бъдещата ядрена централа </w:t>
      </w:r>
      <w:r w:rsidR="00D81934">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 xml:space="preserve">Белене” </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През 2007 г. НЕК информира Европейската комисия (ЕК) за намерението си да строи АЕЦ „Белене“ според чл. 41 от договора „Евроатом”. ЕК оповестява позитивната си оценка за строежа на АЕЦ „Белене“.</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През април 2008 г. НЕК избира BNP Pariba</w:t>
      </w:r>
      <w:r w:rsidRPr="00950BDF">
        <w:rPr>
          <w:rFonts w:ascii="Times New Roman" w:eastAsia="Times New Roman" w:hAnsi="Times New Roman" w:cs="Times New Roman"/>
          <w:sz w:val="24"/>
          <w:szCs w:val="24"/>
          <w:lang w:val="en-US"/>
        </w:rPr>
        <w:t>s</w:t>
      </w:r>
      <w:r w:rsidRPr="00950BDF">
        <w:rPr>
          <w:rFonts w:ascii="Times New Roman" w:eastAsia="Times New Roman" w:hAnsi="Times New Roman" w:cs="Times New Roman"/>
          <w:sz w:val="24"/>
          <w:szCs w:val="24"/>
        </w:rPr>
        <w:t xml:space="preserve"> за структурираща банка за финансирането на проекта.</w:t>
      </w:r>
      <w:r w:rsidRPr="00950BDF">
        <w:rPr>
          <w:rFonts w:ascii="Times New Roman" w:hAnsi="Times New Roman" w:cs="Times New Roman"/>
          <w:sz w:val="24"/>
          <w:szCs w:val="24"/>
        </w:rPr>
        <w:t xml:space="preserve"> През д</w:t>
      </w:r>
      <w:r w:rsidRPr="00950BDF">
        <w:rPr>
          <w:rFonts w:ascii="Times New Roman" w:eastAsia="Times New Roman" w:hAnsi="Times New Roman" w:cs="Times New Roman"/>
          <w:sz w:val="24"/>
          <w:szCs w:val="24"/>
        </w:rPr>
        <w:t xml:space="preserve">екември </w:t>
      </w:r>
      <w:r w:rsidR="00D81934">
        <w:rPr>
          <w:rFonts w:ascii="Times New Roman" w:eastAsia="Times New Roman" w:hAnsi="Times New Roman" w:cs="Times New Roman"/>
          <w:sz w:val="24"/>
          <w:szCs w:val="24"/>
        </w:rPr>
        <w:t>2008 г.</w:t>
      </w:r>
      <w:r w:rsidRPr="00950BDF">
        <w:rPr>
          <w:rFonts w:ascii="Times New Roman" w:eastAsia="Times New Roman" w:hAnsi="Times New Roman" w:cs="Times New Roman"/>
          <w:sz w:val="24"/>
          <w:szCs w:val="24"/>
        </w:rPr>
        <w:t xml:space="preserve"> се подписва акционерно споразумение с RWE Power за обща компания за развитие на проекта. </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През юли 2009 г. правителството замразява проекта „Белене“. В края на 2009 г. RWE Power и BNP Pariba</w:t>
      </w:r>
      <w:r w:rsidRPr="00950BDF">
        <w:rPr>
          <w:rFonts w:ascii="Times New Roman" w:eastAsia="Times New Roman" w:hAnsi="Times New Roman" w:cs="Times New Roman"/>
          <w:sz w:val="24"/>
          <w:szCs w:val="24"/>
          <w:lang w:val="en-US"/>
        </w:rPr>
        <w:t>s</w:t>
      </w:r>
      <w:r w:rsidRPr="00950BDF">
        <w:rPr>
          <w:rFonts w:ascii="Times New Roman" w:eastAsia="Times New Roman" w:hAnsi="Times New Roman" w:cs="Times New Roman"/>
          <w:sz w:val="24"/>
          <w:szCs w:val="24"/>
        </w:rPr>
        <w:t xml:space="preserve"> излизат от проекта.</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През януари 2010 г. стартира процедура по избор на нов консултант. Английската банка HSBC е избрана за финансов консултант на проекта. Подписан е меморандум за създаване на проектна компания: НЕК</w:t>
      </w:r>
      <w:r w:rsidR="00010DC4">
        <w:rPr>
          <w:rFonts w:ascii="Times New Roman" w:eastAsia="Times New Roman" w:hAnsi="Times New Roman" w:cs="Times New Roman"/>
          <w:sz w:val="24"/>
          <w:szCs w:val="24"/>
        </w:rPr>
        <w:t xml:space="preserve"> </w:t>
      </w:r>
      <w:r w:rsidR="00D81934">
        <w:rPr>
          <w:rFonts w:ascii="Times New Roman" w:eastAsia="Times New Roman" w:hAnsi="Times New Roman" w:cs="Times New Roman"/>
          <w:sz w:val="24"/>
          <w:szCs w:val="24"/>
        </w:rPr>
        <w:t>–</w:t>
      </w:r>
      <w:r w:rsidR="00010DC4">
        <w:rPr>
          <w:rFonts w:ascii="Times New Roman" w:eastAsia="Times New Roman" w:hAnsi="Times New Roman" w:cs="Times New Roman"/>
          <w:sz w:val="24"/>
          <w:szCs w:val="24"/>
        </w:rPr>
        <w:t xml:space="preserve"> </w:t>
      </w:r>
      <w:r w:rsidRPr="00950BDF">
        <w:rPr>
          <w:rFonts w:ascii="Times New Roman" w:eastAsia="Times New Roman" w:hAnsi="Times New Roman" w:cs="Times New Roman"/>
          <w:sz w:val="24"/>
          <w:szCs w:val="24"/>
        </w:rPr>
        <w:t>51%, Русия</w:t>
      </w:r>
      <w:r w:rsidR="00010DC4">
        <w:rPr>
          <w:rFonts w:ascii="Times New Roman" w:eastAsia="Times New Roman" w:hAnsi="Times New Roman" w:cs="Times New Roman"/>
          <w:sz w:val="24"/>
          <w:szCs w:val="24"/>
        </w:rPr>
        <w:t xml:space="preserve"> </w:t>
      </w:r>
      <w:r w:rsidRPr="00950BDF">
        <w:rPr>
          <w:rFonts w:ascii="Times New Roman" w:eastAsia="Times New Roman" w:hAnsi="Times New Roman" w:cs="Times New Roman"/>
          <w:sz w:val="24"/>
          <w:szCs w:val="24"/>
        </w:rPr>
        <w:t>–</w:t>
      </w:r>
      <w:r w:rsidR="00010DC4">
        <w:rPr>
          <w:rFonts w:ascii="Times New Roman" w:eastAsia="Times New Roman" w:hAnsi="Times New Roman" w:cs="Times New Roman"/>
          <w:sz w:val="24"/>
          <w:szCs w:val="24"/>
        </w:rPr>
        <w:t xml:space="preserve"> </w:t>
      </w:r>
      <w:r w:rsidRPr="00950BDF">
        <w:rPr>
          <w:rFonts w:ascii="Times New Roman" w:eastAsia="Times New Roman" w:hAnsi="Times New Roman" w:cs="Times New Roman"/>
          <w:sz w:val="24"/>
          <w:szCs w:val="24"/>
        </w:rPr>
        <w:t xml:space="preserve">47%, френската </w:t>
      </w:r>
      <w:r w:rsidR="00D81934">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Altran</w:t>
      </w:r>
      <w:r w:rsidR="00D81934">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 xml:space="preserve"> и финландската </w:t>
      </w:r>
      <w:r w:rsidR="00D81934">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Fortum”</w:t>
      </w:r>
      <w:r w:rsidR="00010DC4">
        <w:rPr>
          <w:rFonts w:ascii="Times New Roman" w:eastAsia="Times New Roman" w:hAnsi="Times New Roman" w:cs="Times New Roman"/>
          <w:sz w:val="24"/>
          <w:szCs w:val="24"/>
        </w:rPr>
        <w:t xml:space="preserve"> </w:t>
      </w:r>
      <w:r w:rsidR="00D81934">
        <w:rPr>
          <w:rFonts w:ascii="Times New Roman" w:eastAsia="Times New Roman" w:hAnsi="Times New Roman" w:cs="Times New Roman"/>
          <w:sz w:val="24"/>
          <w:szCs w:val="24"/>
        </w:rPr>
        <w:t>–</w:t>
      </w:r>
      <w:r w:rsidR="00010DC4">
        <w:rPr>
          <w:rFonts w:ascii="Times New Roman" w:eastAsia="Times New Roman" w:hAnsi="Times New Roman" w:cs="Times New Roman"/>
          <w:sz w:val="24"/>
          <w:szCs w:val="24"/>
        </w:rPr>
        <w:t xml:space="preserve"> </w:t>
      </w:r>
      <w:r w:rsidRPr="00950BDF">
        <w:rPr>
          <w:rFonts w:ascii="Times New Roman" w:eastAsia="Times New Roman" w:hAnsi="Times New Roman" w:cs="Times New Roman"/>
          <w:sz w:val="24"/>
          <w:szCs w:val="24"/>
        </w:rPr>
        <w:t>по 1%.</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Междувременно</w:t>
      </w:r>
      <w:r w:rsidR="00D81934">
        <w:rPr>
          <w:rFonts w:ascii="Times New Roman" w:eastAsia="Times New Roman" w:hAnsi="Times New Roman" w:cs="Times New Roman"/>
          <w:sz w:val="24"/>
          <w:szCs w:val="24"/>
        </w:rPr>
        <w:t>, от страна на АЯР са издадени</w:t>
      </w:r>
      <w:r w:rsidRPr="00950BDF">
        <w:rPr>
          <w:rFonts w:ascii="Times New Roman" w:eastAsia="Times New Roman" w:hAnsi="Times New Roman" w:cs="Times New Roman"/>
          <w:sz w:val="24"/>
          <w:szCs w:val="24"/>
        </w:rPr>
        <w:t xml:space="preserve"> следните разрешения за проекта „Белене“:</w:t>
      </w:r>
    </w:p>
    <w:p w:rsidR="00950BDF" w:rsidRPr="00950BDF" w:rsidRDefault="00D81934" w:rsidP="002A32DA">
      <w:pPr>
        <w:numPr>
          <w:ilvl w:val="0"/>
          <w:numId w:val="19"/>
        </w:numPr>
        <w:spacing w:before="120" w:after="12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950BDF" w:rsidRPr="00950BDF">
        <w:rPr>
          <w:rFonts w:ascii="Times New Roman" w:eastAsia="Times New Roman" w:hAnsi="Times New Roman" w:cs="Times New Roman"/>
          <w:sz w:val="24"/>
          <w:szCs w:val="24"/>
        </w:rPr>
        <w:t>азрешение за избор на площадка</w:t>
      </w:r>
      <w:r>
        <w:rPr>
          <w:rFonts w:ascii="Times New Roman" w:eastAsia="Times New Roman" w:hAnsi="Times New Roman" w:cs="Times New Roman"/>
          <w:sz w:val="24"/>
          <w:szCs w:val="24"/>
        </w:rPr>
        <w:t>;</w:t>
      </w:r>
    </w:p>
    <w:p w:rsidR="00950BDF" w:rsidRPr="00950BDF" w:rsidRDefault="00D81934" w:rsidP="002A32DA">
      <w:pPr>
        <w:numPr>
          <w:ilvl w:val="0"/>
          <w:numId w:val="19"/>
        </w:numPr>
        <w:spacing w:before="120" w:after="12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950BDF" w:rsidRPr="00950BDF">
        <w:rPr>
          <w:rFonts w:ascii="Times New Roman" w:eastAsia="Times New Roman" w:hAnsi="Times New Roman" w:cs="Times New Roman"/>
          <w:sz w:val="24"/>
          <w:szCs w:val="24"/>
        </w:rPr>
        <w:t>добрение на избраната площадка</w:t>
      </w:r>
      <w:r>
        <w:rPr>
          <w:rFonts w:ascii="Times New Roman" w:eastAsia="Times New Roman" w:hAnsi="Times New Roman" w:cs="Times New Roman"/>
          <w:sz w:val="24"/>
          <w:szCs w:val="24"/>
        </w:rPr>
        <w:t>;</w:t>
      </w:r>
    </w:p>
    <w:p w:rsidR="00950BDF" w:rsidRPr="00950BDF" w:rsidRDefault="00D81934" w:rsidP="002A32DA">
      <w:pPr>
        <w:numPr>
          <w:ilvl w:val="0"/>
          <w:numId w:val="19"/>
        </w:numPr>
        <w:spacing w:before="120" w:after="12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950BDF" w:rsidRPr="00950BDF">
        <w:rPr>
          <w:rFonts w:ascii="Times New Roman" w:eastAsia="Times New Roman" w:hAnsi="Times New Roman" w:cs="Times New Roman"/>
          <w:sz w:val="24"/>
          <w:szCs w:val="24"/>
        </w:rPr>
        <w:t>азрешение за проектиране на 1 и 2 блок на АЕЦ „Белене“.</w:t>
      </w:r>
    </w:p>
    <w:p w:rsidR="00950BDF" w:rsidRPr="00950BDF" w:rsidRDefault="00D81934" w:rsidP="00E44C19">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Освен това</w:t>
      </w:r>
      <w:r w:rsidR="00950BDF" w:rsidRPr="00950BDF">
        <w:rPr>
          <w:rFonts w:ascii="Times New Roman" w:eastAsia="Times New Roman" w:hAnsi="Times New Roman" w:cs="Times New Roman"/>
          <w:sz w:val="24"/>
          <w:szCs w:val="24"/>
        </w:rPr>
        <w:t xml:space="preserve"> е инициирана процедура по одобрение на техническия проект, след заявление от 2008 г</w:t>
      </w:r>
      <w:r>
        <w:rPr>
          <w:rFonts w:ascii="Times New Roman" w:eastAsia="Times New Roman" w:hAnsi="Times New Roman" w:cs="Times New Roman"/>
          <w:sz w:val="24"/>
          <w:szCs w:val="24"/>
        </w:rPr>
        <w:t>.</w:t>
      </w:r>
      <w:r w:rsidR="00950BDF" w:rsidRPr="00950BDF">
        <w:rPr>
          <w:rFonts w:ascii="Times New Roman" w:eastAsia="Times New Roman" w:hAnsi="Times New Roman" w:cs="Times New Roman"/>
          <w:sz w:val="24"/>
          <w:szCs w:val="24"/>
        </w:rPr>
        <w:t>, която обаче не е приключила.</w:t>
      </w:r>
    </w:p>
    <w:p w:rsidR="00950BDF" w:rsidRPr="00950BDF" w:rsidRDefault="00950BDF" w:rsidP="00E44C19">
      <w:pPr>
        <w:spacing w:before="120" w:after="120" w:line="240" w:lineRule="auto"/>
        <w:rPr>
          <w:rFonts w:ascii="Times New Roman" w:eastAsia="Times New Roman" w:hAnsi="Times New Roman" w:cs="Times New Roman"/>
          <w:sz w:val="24"/>
          <w:szCs w:val="24"/>
        </w:rPr>
      </w:pPr>
    </w:p>
    <w:p w:rsidR="00950BDF" w:rsidRPr="00395C54" w:rsidRDefault="00950BDF" w:rsidP="002A32DA">
      <w:pPr>
        <w:pStyle w:val="Heading3"/>
        <w:numPr>
          <w:ilvl w:val="2"/>
          <w:numId w:val="12"/>
        </w:numPr>
        <w:spacing w:before="120" w:after="120" w:line="240" w:lineRule="auto"/>
        <w:ind w:left="567" w:hanging="567"/>
        <w:jc w:val="both"/>
        <w:rPr>
          <w:rFonts w:ascii="Times New Roman" w:hAnsi="Times New Roman" w:cs="Times New Roman"/>
          <w:b w:val="0"/>
          <w:color w:val="auto"/>
          <w:sz w:val="24"/>
          <w:szCs w:val="24"/>
          <w:u w:val="single"/>
        </w:rPr>
      </w:pPr>
      <w:bookmarkStart w:id="71" w:name="_Toc489886922"/>
      <w:bookmarkStart w:id="72" w:name="_Toc491994396"/>
      <w:bookmarkStart w:id="73" w:name="_Toc492991255"/>
      <w:bookmarkStart w:id="74" w:name="_Toc492991315"/>
      <w:bookmarkStart w:id="75" w:name="_Toc492991338"/>
      <w:r w:rsidRPr="00395C54">
        <w:rPr>
          <w:rFonts w:ascii="Times New Roman" w:hAnsi="Times New Roman" w:cs="Times New Roman"/>
          <w:b w:val="0"/>
          <w:color w:val="auto"/>
          <w:sz w:val="24"/>
          <w:szCs w:val="24"/>
          <w:u w:val="single"/>
        </w:rPr>
        <w:t>Финансиране на проекта</w:t>
      </w:r>
      <w:bookmarkEnd w:id="71"/>
      <w:bookmarkEnd w:id="72"/>
      <w:bookmarkEnd w:id="73"/>
      <w:bookmarkEnd w:id="74"/>
      <w:bookmarkEnd w:id="75"/>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hAnsi="Times New Roman" w:cs="Times New Roman"/>
          <w:sz w:val="24"/>
          <w:szCs w:val="24"/>
        </w:rPr>
        <w:t xml:space="preserve">Финансирането на проекти като изграждане и експлоатация на АЕЦ „Белене“ е сложна икономическа и политическа задача. Ядрените проекти се характеризират с огромни </w:t>
      </w:r>
      <w:r w:rsidRPr="00950BDF">
        <w:rPr>
          <w:rFonts w:ascii="Times New Roman" w:eastAsia="Times New Roman" w:hAnsi="Times New Roman" w:cs="Times New Roman"/>
          <w:sz w:val="24"/>
          <w:szCs w:val="24"/>
        </w:rPr>
        <w:t>инвестиционни разходи, които често налагат поемането на сериозни рискове. По тази причина разпределението на рисковете е задача от първи порядък при избистряне на концепцията за финансиране на ядрени проекти.</w:t>
      </w:r>
    </w:p>
    <w:p w:rsidR="00950BDF" w:rsidRPr="00A957B8" w:rsidRDefault="00950BDF" w:rsidP="00E44C19">
      <w:pPr>
        <w:spacing w:before="120" w:after="120" w:line="240" w:lineRule="auto"/>
        <w:jc w:val="both"/>
        <w:rPr>
          <w:rFonts w:ascii="Times New Roman" w:eastAsia="Times New Roman" w:hAnsi="Times New Roman" w:cs="Times New Roman"/>
          <w:b/>
          <w:sz w:val="24"/>
          <w:szCs w:val="24"/>
        </w:rPr>
      </w:pPr>
      <w:r w:rsidRPr="00950BDF">
        <w:rPr>
          <w:rFonts w:ascii="Times New Roman" w:eastAsia="Times New Roman" w:hAnsi="Times New Roman" w:cs="Times New Roman"/>
          <w:sz w:val="24"/>
          <w:szCs w:val="24"/>
        </w:rPr>
        <w:lastRenderedPageBreak/>
        <w:t xml:space="preserve">В основата на всеки проект стои неговият собственик, който самостоятелно или чрез възлагане на специална проектна компания започва да развива проекта. Важна част от развитието на проектната идея е </w:t>
      </w:r>
      <w:r w:rsidR="00C76219">
        <w:rPr>
          <w:rFonts w:ascii="Times New Roman" w:eastAsia="Times New Roman" w:hAnsi="Times New Roman" w:cs="Times New Roman"/>
          <w:sz w:val="24"/>
          <w:szCs w:val="24"/>
        </w:rPr>
        <w:t xml:space="preserve">начина на </w:t>
      </w:r>
      <w:r w:rsidRPr="00950BDF">
        <w:rPr>
          <w:rFonts w:ascii="Times New Roman" w:eastAsia="Times New Roman" w:hAnsi="Times New Roman" w:cs="Times New Roman"/>
          <w:sz w:val="24"/>
          <w:szCs w:val="24"/>
        </w:rPr>
        <w:t>структуриране на финансирането на проекта и изследване на възможностите за привличане на външни за собственика инвеститори, както и за намиране на привлечен капитал.</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 xml:space="preserve">В продължителната история на проекта за изграждане на АЕЦ „Белене“ са правени опити за използване на различни концепции за структуриране </w:t>
      </w:r>
      <w:r w:rsidR="00931260">
        <w:rPr>
          <w:rFonts w:ascii="Times New Roman" w:eastAsia="Times New Roman" w:hAnsi="Times New Roman" w:cs="Times New Roman"/>
          <w:sz w:val="24"/>
          <w:szCs w:val="24"/>
        </w:rPr>
        <w:t xml:space="preserve">на </w:t>
      </w:r>
      <w:r w:rsidRPr="00950BDF">
        <w:rPr>
          <w:rFonts w:ascii="Times New Roman" w:eastAsia="Times New Roman" w:hAnsi="Times New Roman" w:cs="Times New Roman"/>
          <w:sz w:val="24"/>
          <w:szCs w:val="24"/>
        </w:rPr>
        <w:t>ф</w:t>
      </w:r>
      <w:r w:rsidR="00931260">
        <w:rPr>
          <w:rFonts w:ascii="Times New Roman" w:eastAsia="Times New Roman" w:hAnsi="Times New Roman" w:cs="Times New Roman"/>
          <w:sz w:val="24"/>
          <w:szCs w:val="24"/>
        </w:rPr>
        <w:t xml:space="preserve">инансирането на проекта (вж. т. </w:t>
      </w:r>
      <w:r w:rsidRPr="00950BDF">
        <w:rPr>
          <w:rFonts w:ascii="Times New Roman" w:eastAsia="Times New Roman" w:hAnsi="Times New Roman" w:cs="Times New Roman"/>
          <w:sz w:val="24"/>
          <w:szCs w:val="24"/>
          <w:lang w:val="en-US"/>
        </w:rPr>
        <w:t>3.2.</w:t>
      </w:r>
      <w:r w:rsidRPr="00950BDF">
        <w:rPr>
          <w:rFonts w:ascii="Times New Roman" w:eastAsia="Times New Roman" w:hAnsi="Times New Roman" w:cs="Times New Roman"/>
          <w:sz w:val="24"/>
          <w:szCs w:val="24"/>
        </w:rPr>
        <w:t>1). Всички тези концепции са вече минало, което налага разработването на нова. Тя е необходима не само от гледна точка на проектния цикъл и неговото управление, но и като основно допускане при разработване на финансовия модел и при извършване на финансовите анализи.</w:t>
      </w:r>
    </w:p>
    <w:p w:rsidR="00950BDF" w:rsidRPr="00950BDF" w:rsidRDefault="00950BDF" w:rsidP="00E44C19">
      <w:pPr>
        <w:spacing w:before="120" w:after="120" w:line="240" w:lineRule="auto"/>
        <w:jc w:val="both"/>
        <w:rPr>
          <w:rFonts w:ascii="Times New Roman" w:eastAsia="Times New Roman" w:hAnsi="Times New Roman" w:cs="Times New Roman"/>
          <w:sz w:val="24"/>
          <w:szCs w:val="24"/>
        </w:rPr>
      </w:pPr>
      <w:r w:rsidRPr="00950BDF">
        <w:rPr>
          <w:rFonts w:ascii="Times New Roman" w:eastAsia="Times New Roman" w:hAnsi="Times New Roman" w:cs="Times New Roman"/>
          <w:sz w:val="24"/>
          <w:szCs w:val="24"/>
        </w:rPr>
        <w:t>За целта е възприет подход, който изхожда от бюджета на проекта, реалистичните варианти за структуриране на дружество, което едновременно е собственик и проектна компания за развитие на проекта и възможностите за осигуряване на привлечен капитал на ядрени проекти. От гледна точка на дружеството – собственик и проектна компания</w:t>
      </w:r>
      <w:r w:rsidR="00931260">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 xml:space="preserve"> са съставени 6 варианта. При първите </w:t>
      </w:r>
      <w:r w:rsidR="00931260">
        <w:rPr>
          <w:rFonts w:ascii="Times New Roman" w:eastAsia="Times New Roman" w:hAnsi="Times New Roman" w:cs="Times New Roman"/>
          <w:sz w:val="24"/>
          <w:szCs w:val="24"/>
        </w:rPr>
        <w:t>3</w:t>
      </w:r>
      <w:r w:rsidRPr="00950BDF">
        <w:rPr>
          <w:rFonts w:ascii="Times New Roman" w:eastAsia="Times New Roman" w:hAnsi="Times New Roman" w:cs="Times New Roman"/>
          <w:sz w:val="24"/>
          <w:szCs w:val="24"/>
        </w:rPr>
        <w:t xml:space="preserve"> варианта е разгледана възможността проектът да се продаде изцяло на частен инвеститор, който да го реализира с помощта на собствено и външно финансиране. Останалите </w:t>
      </w:r>
      <w:r w:rsidR="00931260">
        <w:rPr>
          <w:rFonts w:ascii="Times New Roman" w:eastAsia="Times New Roman" w:hAnsi="Times New Roman" w:cs="Times New Roman"/>
          <w:sz w:val="24"/>
          <w:szCs w:val="24"/>
        </w:rPr>
        <w:t>3</w:t>
      </w:r>
      <w:r w:rsidRPr="00950BDF">
        <w:rPr>
          <w:rFonts w:ascii="Times New Roman" w:eastAsia="Times New Roman" w:hAnsi="Times New Roman" w:cs="Times New Roman"/>
          <w:sz w:val="24"/>
          <w:szCs w:val="24"/>
        </w:rPr>
        <w:t xml:space="preserve"> варианта се отнасят до създаване на смесено дружество с различно миксиране на собствеността между частния инвеститор и държавата, при преобладаващо участие на частния инвеститор. Разгледаните съотношенията между  собствен и привлечен капитал са съответно 50:50, 40:60 и 30:70. По този начин са проектирани 6 варианта за разпределение на собствеността и финансиране на проекта, които са разгледани подробно в следващото изложение.</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eastAsia="Times New Roman" w:hAnsi="Times New Roman" w:cs="Times New Roman"/>
          <w:sz w:val="24"/>
          <w:szCs w:val="24"/>
        </w:rPr>
        <w:t>Всеки от разработените варианти, поради различната цена на собствения и привлечения капитал</w:t>
      </w:r>
      <w:r w:rsidR="001F39B8">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 xml:space="preserve"> води до използване на различна норма на дисконтиране на паричните потоци, а оттам и до различна доходност на капитала. По този начин, при равни други условия, се стига до подреждане на вариантите според тяхната финансова привлекателност. Така интересите на държавата като настоящ собственик на проект</w:t>
      </w:r>
      <w:r w:rsidRPr="00950BDF">
        <w:rPr>
          <w:rFonts w:ascii="Times New Roman" w:hAnsi="Times New Roman" w:cs="Times New Roman"/>
          <w:sz w:val="24"/>
          <w:szCs w:val="24"/>
        </w:rPr>
        <w:t>а могат да бъдат защитени по финансово аргументиран начин.</w:t>
      </w:r>
    </w:p>
    <w:p w:rsidR="00950BDF" w:rsidRPr="00950BDF" w:rsidRDefault="00950BDF" w:rsidP="00E44C19">
      <w:pPr>
        <w:spacing w:before="120" w:after="120" w:line="240" w:lineRule="auto"/>
        <w:rPr>
          <w:rFonts w:ascii="Times New Roman" w:hAnsi="Times New Roman" w:cs="Times New Roman"/>
          <w:sz w:val="24"/>
          <w:szCs w:val="24"/>
        </w:rPr>
      </w:pPr>
    </w:p>
    <w:p w:rsidR="00950BDF" w:rsidRPr="00395C54" w:rsidRDefault="001F39B8" w:rsidP="002A32DA">
      <w:pPr>
        <w:pStyle w:val="Heading2"/>
        <w:numPr>
          <w:ilvl w:val="1"/>
          <w:numId w:val="23"/>
        </w:numPr>
        <w:spacing w:before="120" w:after="120" w:line="240" w:lineRule="auto"/>
        <w:ind w:left="426" w:hanging="426"/>
        <w:jc w:val="both"/>
        <w:rPr>
          <w:rFonts w:ascii="Times New Roman" w:hAnsi="Times New Roman" w:cs="Times New Roman"/>
          <w:b w:val="0"/>
          <w:i/>
          <w:color w:val="auto"/>
          <w:sz w:val="24"/>
          <w:szCs w:val="24"/>
        </w:rPr>
      </w:pPr>
      <w:bookmarkStart w:id="76" w:name="_Toc489886924"/>
      <w:bookmarkStart w:id="77" w:name="_Toc491994397"/>
      <w:bookmarkStart w:id="78" w:name="_Toc492991256"/>
      <w:bookmarkStart w:id="79" w:name="_Toc492991316"/>
      <w:bookmarkStart w:id="80" w:name="_Toc492991339"/>
      <w:r>
        <w:rPr>
          <w:rFonts w:ascii="Times New Roman" w:hAnsi="Times New Roman" w:cs="Times New Roman"/>
          <w:b w:val="0"/>
          <w:i/>
          <w:color w:val="auto"/>
          <w:sz w:val="24"/>
          <w:szCs w:val="24"/>
        </w:rPr>
        <w:t>Финансов</w:t>
      </w:r>
      <w:r w:rsidR="00395C54" w:rsidRPr="00395C54">
        <w:rPr>
          <w:rFonts w:ascii="Times New Roman" w:hAnsi="Times New Roman" w:cs="Times New Roman"/>
          <w:b w:val="0"/>
          <w:i/>
          <w:color w:val="auto"/>
          <w:sz w:val="24"/>
          <w:szCs w:val="24"/>
        </w:rPr>
        <w:t xml:space="preserve"> модел</w:t>
      </w:r>
      <w:bookmarkEnd w:id="76"/>
      <w:bookmarkEnd w:id="77"/>
      <w:bookmarkEnd w:id="78"/>
      <w:bookmarkEnd w:id="79"/>
      <w:bookmarkEnd w:id="80"/>
    </w:p>
    <w:p w:rsidR="00950BDF" w:rsidRPr="00395C54" w:rsidRDefault="00950BDF" w:rsidP="002A32DA">
      <w:pPr>
        <w:pStyle w:val="Heading3"/>
        <w:numPr>
          <w:ilvl w:val="2"/>
          <w:numId w:val="24"/>
        </w:numPr>
        <w:spacing w:before="120" w:after="120" w:line="240" w:lineRule="auto"/>
        <w:ind w:left="567" w:hanging="567"/>
        <w:jc w:val="both"/>
        <w:rPr>
          <w:rFonts w:ascii="Times New Roman" w:hAnsi="Times New Roman" w:cs="Times New Roman"/>
          <w:b w:val="0"/>
          <w:color w:val="auto"/>
          <w:sz w:val="24"/>
          <w:szCs w:val="24"/>
          <w:u w:val="single"/>
        </w:rPr>
      </w:pPr>
      <w:bookmarkStart w:id="81" w:name="_Toc489886925"/>
      <w:bookmarkStart w:id="82" w:name="_Toc491994398"/>
      <w:bookmarkStart w:id="83" w:name="_Toc492991257"/>
      <w:bookmarkStart w:id="84" w:name="_Toc492991317"/>
      <w:bookmarkStart w:id="85" w:name="_Toc492991340"/>
      <w:r w:rsidRPr="00395C54">
        <w:rPr>
          <w:rFonts w:ascii="Times New Roman" w:hAnsi="Times New Roman" w:cs="Times New Roman"/>
          <w:b w:val="0"/>
          <w:color w:val="auto"/>
          <w:sz w:val="24"/>
          <w:szCs w:val="24"/>
          <w:u w:val="single"/>
        </w:rPr>
        <w:t>Логика, функционалност и информационно осигуряване</w:t>
      </w:r>
      <w:bookmarkEnd w:id="81"/>
      <w:bookmarkEnd w:id="82"/>
      <w:bookmarkEnd w:id="83"/>
      <w:bookmarkEnd w:id="84"/>
      <w:bookmarkEnd w:id="85"/>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Финансовият модел е разработен и функционира в среда на MS Excel. Структуриран е в 18 отделни електронни таблици (</w:t>
      </w:r>
      <w:r w:rsidRPr="00950BDF">
        <w:rPr>
          <w:rFonts w:ascii="Times New Roman" w:hAnsi="Times New Roman" w:cs="Times New Roman"/>
          <w:sz w:val="24"/>
          <w:szCs w:val="24"/>
          <w:lang w:val="en-US"/>
        </w:rPr>
        <w:t xml:space="preserve">sheets) </w:t>
      </w:r>
      <w:r w:rsidRPr="00950BDF">
        <w:rPr>
          <w:rFonts w:ascii="Times New Roman" w:hAnsi="Times New Roman" w:cs="Times New Roman"/>
          <w:sz w:val="24"/>
          <w:szCs w:val="24"/>
        </w:rPr>
        <w:t>с връзки помежду си, което позволява промените в различни променливи да бъдат автоматично отразявани в съответните свързани таблици. Моделът е интерактивен, така че промените във входните данни се отразяват на крайните резултати. От тази гледна точка моделът има неограничени възможности за проиграване на различни стойности и комбинация от стойности на входните параметри.</w:t>
      </w:r>
    </w:p>
    <w:p w:rsid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Структурата на модела е представена на фиг</w:t>
      </w:r>
      <w:r w:rsidR="00395C54">
        <w:rPr>
          <w:rFonts w:ascii="Times New Roman" w:hAnsi="Times New Roman" w:cs="Times New Roman"/>
          <w:sz w:val="24"/>
          <w:szCs w:val="24"/>
          <w:lang w:val="en-US"/>
        </w:rPr>
        <w:t>.</w:t>
      </w:r>
      <w:r w:rsidR="00010DC4">
        <w:rPr>
          <w:rFonts w:ascii="Times New Roman" w:hAnsi="Times New Roman" w:cs="Times New Roman"/>
          <w:sz w:val="24"/>
          <w:szCs w:val="24"/>
        </w:rPr>
        <w:t xml:space="preserve"> </w:t>
      </w:r>
      <w:r w:rsidR="00395C54">
        <w:rPr>
          <w:rFonts w:ascii="Times New Roman" w:hAnsi="Times New Roman" w:cs="Times New Roman"/>
          <w:sz w:val="24"/>
          <w:szCs w:val="24"/>
          <w:lang w:val="en-US"/>
        </w:rPr>
        <w:t>V.3</w:t>
      </w:r>
      <w:r w:rsidRPr="00950BDF">
        <w:rPr>
          <w:rFonts w:ascii="Times New Roman" w:hAnsi="Times New Roman" w:cs="Times New Roman"/>
          <w:sz w:val="24"/>
          <w:szCs w:val="24"/>
        </w:rPr>
        <w:t xml:space="preserve">, като отделните таблици са групирани </w:t>
      </w:r>
      <w:r w:rsidR="008D0C5F">
        <w:rPr>
          <w:rFonts w:ascii="Times New Roman" w:hAnsi="Times New Roman" w:cs="Times New Roman"/>
          <w:sz w:val="24"/>
          <w:szCs w:val="24"/>
        </w:rPr>
        <w:t>по</w:t>
      </w:r>
      <w:r w:rsidR="00C4220F">
        <w:rPr>
          <w:rFonts w:ascii="Times New Roman" w:hAnsi="Times New Roman" w:cs="Times New Roman"/>
          <w:sz w:val="24"/>
          <w:szCs w:val="24"/>
        </w:rPr>
        <w:t xml:space="preserve"> </w:t>
      </w:r>
      <w:r w:rsidRPr="00950BDF">
        <w:rPr>
          <w:rFonts w:ascii="Times New Roman" w:hAnsi="Times New Roman" w:cs="Times New Roman"/>
          <w:sz w:val="24"/>
          <w:szCs w:val="24"/>
        </w:rPr>
        <w:t>тематичен принцип.</w:t>
      </w:r>
    </w:p>
    <w:p w:rsidR="00950BDF" w:rsidRPr="00C4220F" w:rsidRDefault="002F633F" w:rsidP="00C4220F">
      <w:pPr>
        <w:pStyle w:val="Caption"/>
        <w:keepNext/>
        <w:rPr>
          <w:rFonts w:ascii="Times New Roman" w:hAnsi="Times New Roman"/>
          <w:szCs w:val="24"/>
        </w:rPr>
      </w:pPr>
      <w:bookmarkStart w:id="86" w:name="_Toc491990992"/>
      <w:bookmarkStart w:id="87" w:name="_Toc491994429"/>
      <w:bookmarkStart w:id="88" w:name="_Toc493240919"/>
      <w:r w:rsidRPr="00C4220F">
        <w:rPr>
          <w:rFonts w:ascii="Times New Roman" w:hAnsi="Times New Roman"/>
        </w:rPr>
        <w:lastRenderedPageBreak/>
        <w:t>Фигура V.</w:t>
      </w:r>
      <w:r w:rsidR="0097530B" w:rsidRPr="00C4220F">
        <w:rPr>
          <w:rFonts w:ascii="Times New Roman" w:hAnsi="Times New Roman"/>
        </w:rPr>
        <w:fldChar w:fldCharType="begin"/>
      </w:r>
      <w:r w:rsidRPr="00C4220F">
        <w:rPr>
          <w:rFonts w:ascii="Times New Roman" w:hAnsi="Times New Roman"/>
        </w:rPr>
        <w:instrText xml:space="preserve"> SEQ Фигура_V. \* ARABIC </w:instrText>
      </w:r>
      <w:r w:rsidR="0097530B" w:rsidRPr="00C4220F">
        <w:rPr>
          <w:rFonts w:ascii="Times New Roman" w:hAnsi="Times New Roman"/>
        </w:rPr>
        <w:fldChar w:fldCharType="separate"/>
      </w:r>
      <w:r w:rsidR="00F44EBF">
        <w:rPr>
          <w:rFonts w:ascii="Times New Roman" w:hAnsi="Times New Roman"/>
          <w:noProof/>
        </w:rPr>
        <w:t>3</w:t>
      </w:r>
      <w:r w:rsidR="0097530B" w:rsidRPr="00C4220F">
        <w:rPr>
          <w:rFonts w:ascii="Times New Roman" w:hAnsi="Times New Roman"/>
        </w:rPr>
        <w:fldChar w:fldCharType="end"/>
      </w:r>
      <w:r w:rsidR="00C4220F" w:rsidRPr="00C4220F">
        <w:rPr>
          <w:rFonts w:ascii="Times New Roman" w:hAnsi="Times New Roman"/>
        </w:rPr>
        <w:t xml:space="preserve">. </w:t>
      </w:r>
      <w:r w:rsidR="00950BDF" w:rsidRPr="00C4220F">
        <w:rPr>
          <w:rFonts w:ascii="Times New Roman" w:hAnsi="Times New Roman"/>
          <w:szCs w:val="24"/>
        </w:rPr>
        <w:t>Структура на финансовия модел</w:t>
      </w:r>
      <w:bookmarkEnd w:id="86"/>
      <w:bookmarkEnd w:id="87"/>
      <w:bookmarkEnd w:id="88"/>
    </w:p>
    <w:p w:rsidR="00950BDF" w:rsidRPr="00395C54" w:rsidRDefault="00950BDF" w:rsidP="00E3646D">
      <w:pPr>
        <w:spacing w:before="120" w:after="120" w:line="240" w:lineRule="auto"/>
        <w:ind w:left="-142"/>
        <w:jc w:val="center"/>
        <w:rPr>
          <w:rFonts w:ascii="Times New Roman" w:hAnsi="Times New Roman" w:cs="Times New Roman"/>
          <w:sz w:val="24"/>
          <w:szCs w:val="24"/>
        </w:rPr>
      </w:pPr>
      <w:r w:rsidRPr="00395C54">
        <w:rPr>
          <w:rFonts w:ascii="Times New Roman" w:hAnsi="Times New Roman" w:cs="Times New Roman"/>
          <w:noProof/>
          <w:sz w:val="24"/>
          <w:szCs w:val="24"/>
        </w:rPr>
        <w:drawing>
          <wp:inline distT="0" distB="0" distL="0" distR="0">
            <wp:extent cx="6030567" cy="3353642"/>
            <wp:effectExtent l="19050" t="0" r="8283"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srcRect/>
                    <a:stretch>
                      <a:fillRect/>
                    </a:stretch>
                  </pic:blipFill>
                  <pic:spPr bwMode="auto">
                    <a:xfrm>
                      <a:off x="0" y="0"/>
                      <a:ext cx="6033432" cy="3355235"/>
                    </a:xfrm>
                    <a:prstGeom prst="rect">
                      <a:avLst/>
                    </a:prstGeom>
                    <a:noFill/>
                  </pic:spPr>
                </pic:pic>
              </a:graphicData>
            </a:graphic>
          </wp:inline>
        </w:drawing>
      </w:r>
    </w:p>
    <w:p w:rsidR="00950BDF" w:rsidRPr="00395C54" w:rsidRDefault="00950BDF" w:rsidP="00E44C19">
      <w:pPr>
        <w:spacing w:before="120" w:after="120" w:line="240" w:lineRule="auto"/>
        <w:jc w:val="center"/>
        <w:rPr>
          <w:rFonts w:ascii="Times New Roman" w:hAnsi="Times New Roman" w:cs="Times New Roman"/>
          <w:sz w:val="20"/>
          <w:szCs w:val="24"/>
        </w:rPr>
      </w:pPr>
      <w:r w:rsidRPr="00395C54">
        <w:rPr>
          <w:rFonts w:ascii="Times New Roman" w:hAnsi="Times New Roman" w:cs="Times New Roman"/>
          <w:sz w:val="20"/>
          <w:szCs w:val="24"/>
        </w:rPr>
        <w:t>Източник: Съставена от авторите.</w:t>
      </w:r>
    </w:p>
    <w:p w:rsidR="00950BDF" w:rsidRPr="00950BDF" w:rsidRDefault="00950BDF" w:rsidP="00E44C19">
      <w:pPr>
        <w:spacing w:before="120" w:after="120" w:line="240" w:lineRule="auto"/>
        <w:rPr>
          <w:rFonts w:ascii="Times New Roman" w:hAnsi="Times New Roman" w:cs="Times New Roman"/>
          <w:sz w:val="24"/>
          <w:szCs w:val="24"/>
        </w:rPr>
      </w:pPr>
    </w:p>
    <w:p w:rsidR="00950BDF" w:rsidRPr="00950BDF" w:rsidRDefault="00950BDF" w:rsidP="00E44C19">
      <w:pPr>
        <w:spacing w:before="120" w:after="120" w:line="240" w:lineRule="auto"/>
        <w:rPr>
          <w:rFonts w:ascii="Times New Roman" w:hAnsi="Times New Roman" w:cs="Times New Roman"/>
          <w:sz w:val="24"/>
          <w:szCs w:val="24"/>
        </w:rPr>
      </w:pPr>
      <w:r w:rsidRPr="00950BDF">
        <w:rPr>
          <w:rFonts w:ascii="Times New Roman" w:hAnsi="Times New Roman" w:cs="Times New Roman"/>
          <w:sz w:val="24"/>
          <w:szCs w:val="24"/>
        </w:rPr>
        <w:t>Моделът дава възможност за:</w:t>
      </w:r>
    </w:p>
    <w:p w:rsidR="00950BDF" w:rsidRPr="00950BDF" w:rsidRDefault="00950BDF" w:rsidP="002A32DA">
      <w:pPr>
        <w:pStyle w:val="ListParagraph"/>
        <w:numPr>
          <w:ilvl w:val="0"/>
          <w:numId w:val="13"/>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t>проследяване на изготвянето на прогнозите и изчисляването на показателите</w:t>
      </w:r>
      <w:r w:rsidR="00E3646D">
        <w:rPr>
          <w:rFonts w:ascii="Times New Roman" w:hAnsi="Times New Roman" w:cs="Times New Roman"/>
          <w:sz w:val="24"/>
          <w:szCs w:val="24"/>
        </w:rPr>
        <w:t>;</w:t>
      </w:r>
    </w:p>
    <w:p w:rsidR="00950BDF" w:rsidRPr="00950BDF" w:rsidRDefault="00950BDF" w:rsidP="002A32DA">
      <w:pPr>
        <w:pStyle w:val="ListParagraph"/>
        <w:numPr>
          <w:ilvl w:val="0"/>
          <w:numId w:val="13"/>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t>сравняване на резултатите по отделните варианти при промяна на отделни допускания</w:t>
      </w:r>
      <w:r w:rsidR="00E3646D">
        <w:rPr>
          <w:rFonts w:ascii="Times New Roman" w:hAnsi="Times New Roman" w:cs="Times New Roman"/>
          <w:sz w:val="24"/>
          <w:szCs w:val="24"/>
          <w:lang w:val="en-US"/>
        </w:rPr>
        <w:t>;</w:t>
      </w:r>
    </w:p>
    <w:p w:rsidR="00950BDF" w:rsidRPr="00950BDF" w:rsidRDefault="00950BDF" w:rsidP="002A32DA">
      <w:pPr>
        <w:pStyle w:val="ListParagraph"/>
        <w:numPr>
          <w:ilvl w:val="0"/>
          <w:numId w:val="13"/>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t>избор на предпочитан вариант.</w:t>
      </w:r>
    </w:p>
    <w:p w:rsidR="00950BDF" w:rsidRPr="00950BDF" w:rsidRDefault="00950BDF" w:rsidP="00E44C19">
      <w:pPr>
        <w:spacing w:before="120" w:after="120" w:line="240" w:lineRule="auto"/>
        <w:rPr>
          <w:rFonts w:ascii="Times New Roman" w:hAnsi="Times New Roman" w:cs="Times New Roman"/>
          <w:sz w:val="24"/>
          <w:szCs w:val="24"/>
        </w:rPr>
      </w:pPr>
      <w:r w:rsidRPr="00950BDF">
        <w:rPr>
          <w:rFonts w:ascii="Times New Roman" w:hAnsi="Times New Roman" w:cs="Times New Roman"/>
          <w:sz w:val="24"/>
          <w:szCs w:val="24"/>
        </w:rPr>
        <w:t>Моделът е разработен на базата на данни от следните източници:</w:t>
      </w:r>
    </w:p>
    <w:p w:rsidR="00950BDF" w:rsidRPr="00E3646D" w:rsidRDefault="00950BDF" w:rsidP="002A32DA">
      <w:pPr>
        <w:pStyle w:val="ListParagraph"/>
        <w:numPr>
          <w:ilvl w:val="0"/>
          <w:numId w:val="13"/>
        </w:numPr>
        <w:tabs>
          <w:tab w:val="clear" w:pos="720"/>
          <w:tab w:val="num" w:pos="284"/>
        </w:tabs>
        <w:spacing w:before="120" w:after="120" w:line="240" w:lineRule="auto"/>
        <w:ind w:left="284" w:hanging="284"/>
        <w:contextualSpacing w:val="0"/>
        <w:jc w:val="both"/>
        <w:rPr>
          <w:rFonts w:ascii="Times New Roman" w:eastAsia="Times New Roman" w:hAnsi="Times New Roman" w:cs="Times New Roman"/>
          <w:sz w:val="24"/>
          <w:szCs w:val="24"/>
        </w:rPr>
      </w:pPr>
      <w:r w:rsidRPr="00950BDF">
        <w:rPr>
          <w:rFonts w:ascii="Times New Roman" w:hAnsi="Times New Roman" w:cs="Times New Roman"/>
          <w:sz w:val="24"/>
          <w:szCs w:val="24"/>
        </w:rPr>
        <w:t xml:space="preserve">Резултати от други дейности, изпълнени в рамките на Проект </w:t>
      </w:r>
      <w:r w:rsidRPr="00950BDF">
        <w:rPr>
          <w:rFonts w:ascii="Times New Roman" w:eastAsia="Times New Roman" w:hAnsi="Times New Roman" w:cs="Times New Roman"/>
          <w:sz w:val="24"/>
          <w:szCs w:val="24"/>
        </w:rPr>
        <w:t xml:space="preserve">„Изготвяне на Национална стратегия в областта на енергетиката (с фокус върху електроенергетиката)”, част от който представлява изготвянето на настоящия доклад. Такива са резултатите от Дейност </w:t>
      </w:r>
      <w:r w:rsidR="00E44C19">
        <w:rPr>
          <w:rFonts w:ascii="Times New Roman" w:eastAsia="Times New Roman" w:hAnsi="Times New Roman" w:cs="Times New Roman"/>
          <w:sz w:val="24"/>
          <w:szCs w:val="24"/>
        </w:rPr>
        <w:t>II</w:t>
      </w:r>
      <w:r w:rsidRPr="00950BDF">
        <w:rPr>
          <w:rFonts w:ascii="Times New Roman" w:eastAsia="Times New Roman" w:hAnsi="Times New Roman" w:cs="Times New Roman"/>
          <w:sz w:val="24"/>
          <w:szCs w:val="24"/>
        </w:rPr>
        <w:t>, които изследват нуждите от строителство на нова ядрена мощност в страната</w:t>
      </w:r>
      <w:r w:rsidR="00E3646D">
        <w:rPr>
          <w:rFonts w:ascii="Times New Roman" w:eastAsia="Times New Roman" w:hAnsi="Times New Roman" w:cs="Times New Roman"/>
          <w:sz w:val="24"/>
          <w:szCs w:val="24"/>
        </w:rPr>
        <w:t>,</w:t>
      </w:r>
      <w:r w:rsidRPr="00950BDF">
        <w:rPr>
          <w:rFonts w:ascii="Times New Roman" w:eastAsia="Times New Roman" w:hAnsi="Times New Roman" w:cs="Times New Roman"/>
          <w:sz w:val="24"/>
          <w:szCs w:val="24"/>
        </w:rPr>
        <w:t xml:space="preserve"> и </w:t>
      </w:r>
      <w:r w:rsidR="00E3646D">
        <w:rPr>
          <w:rFonts w:ascii="Times New Roman" w:eastAsia="Times New Roman" w:hAnsi="Times New Roman" w:cs="Times New Roman"/>
          <w:sz w:val="24"/>
          <w:szCs w:val="24"/>
        </w:rPr>
        <w:t xml:space="preserve">тези от </w:t>
      </w:r>
      <w:r w:rsidRPr="00E3646D">
        <w:rPr>
          <w:rFonts w:ascii="Times New Roman" w:eastAsia="Times New Roman" w:hAnsi="Times New Roman" w:cs="Times New Roman"/>
          <w:sz w:val="24"/>
          <w:szCs w:val="24"/>
        </w:rPr>
        <w:t xml:space="preserve">Дейност </w:t>
      </w:r>
      <w:r w:rsidR="00E44C19" w:rsidRPr="00E3646D">
        <w:rPr>
          <w:rFonts w:ascii="Times New Roman" w:eastAsia="Times New Roman" w:hAnsi="Times New Roman" w:cs="Times New Roman"/>
          <w:sz w:val="24"/>
          <w:szCs w:val="24"/>
          <w:lang w:val="en-US"/>
        </w:rPr>
        <w:t>III</w:t>
      </w:r>
      <w:r w:rsidRPr="00E3646D">
        <w:rPr>
          <w:rFonts w:ascii="Times New Roman" w:eastAsia="Times New Roman" w:hAnsi="Times New Roman" w:cs="Times New Roman"/>
          <w:sz w:val="24"/>
          <w:szCs w:val="24"/>
        </w:rPr>
        <w:t>, които се занимават с развитие на пазарите, регионалното търсене и прогнозиране на цените на електрическа енергия.</w:t>
      </w:r>
    </w:p>
    <w:p w:rsidR="00950BDF" w:rsidRPr="00950BDF" w:rsidRDefault="00950BDF" w:rsidP="002A32DA">
      <w:pPr>
        <w:pStyle w:val="ListParagraph"/>
        <w:numPr>
          <w:ilvl w:val="0"/>
          <w:numId w:val="13"/>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t>Технически проект и първоначален бюджет на проекта А-92 за АЕЦ „Белене“.</w:t>
      </w:r>
    </w:p>
    <w:p w:rsidR="00950BDF" w:rsidRPr="00950BDF" w:rsidRDefault="00950BDF" w:rsidP="002A32DA">
      <w:pPr>
        <w:pStyle w:val="ListParagraph"/>
        <w:numPr>
          <w:ilvl w:val="0"/>
          <w:numId w:val="13"/>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t>Данни, информация и справки, предоставени от Възложителя (Български енергиен холдинг – БЕХ).</w:t>
      </w:r>
    </w:p>
    <w:p w:rsidR="00950BDF" w:rsidRPr="00950BDF" w:rsidRDefault="00950BDF" w:rsidP="002A32DA">
      <w:pPr>
        <w:pStyle w:val="ListParagraph"/>
        <w:numPr>
          <w:ilvl w:val="0"/>
          <w:numId w:val="13"/>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t>Данни и прогнози от национални институции – НСИ, НОИ, НЕК, министерства, агенции и др.</w:t>
      </w:r>
    </w:p>
    <w:p w:rsidR="00950BDF" w:rsidRPr="00950BDF" w:rsidRDefault="00950BDF" w:rsidP="002A32DA">
      <w:pPr>
        <w:pStyle w:val="ListParagraph"/>
        <w:numPr>
          <w:ilvl w:val="0"/>
          <w:numId w:val="13"/>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t>Информация, свързана с функционирането на АЕЦ „Козлодуй“ – годишни финансови отчети за периода 2010-2015 г., бизнес план и др.</w:t>
      </w:r>
    </w:p>
    <w:p w:rsidR="00950BDF" w:rsidRPr="00950BDF" w:rsidRDefault="00950BDF" w:rsidP="002A32DA">
      <w:pPr>
        <w:pStyle w:val="ListParagraph"/>
        <w:numPr>
          <w:ilvl w:val="0"/>
          <w:numId w:val="13"/>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t>Данни от международни и национални референтни източници и изследвания</w:t>
      </w:r>
      <w:r w:rsidR="00E3646D">
        <w:rPr>
          <w:rFonts w:ascii="Times New Roman" w:hAnsi="Times New Roman" w:cs="Times New Roman"/>
          <w:sz w:val="24"/>
          <w:szCs w:val="24"/>
        </w:rPr>
        <w:t>,</w:t>
      </w:r>
      <w:r w:rsidRPr="00950BDF">
        <w:rPr>
          <w:rFonts w:ascii="Times New Roman" w:hAnsi="Times New Roman" w:cs="Times New Roman"/>
          <w:sz w:val="24"/>
          <w:szCs w:val="24"/>
        </w:rPr>
        <w:t xml:space="preserve"> свързани с ядрената енергетика.</w:t>
      </w:r>
    </w:p>
    <w:p w:rsidR="00950BDF" w:rsidRPr="00950BDF" w:rsidRDefault="00950BDF" w:rsidP="002A32DA">
      <w:pPr>
        <w:pStyle w:val="ListParagraph"/>
        <w:numPr>
          <w:ilvl w:val="0"/>
          <w:numId w:val="13"/>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lastRenderedPageBreak/>
        <w:t>Данни от международни статистически институции, бази данни, агенции, осигуряващи финансова и статистическа информация (Bloomberg, ЕИБ и др.).</w:t>
      </w:r>
    </w:p>
    <w:p w:rsidR="00950BDF" w:rsidRPr="00950BDF" w:rsidRDefault="00950BDF" w:rsidP="00E3646D">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Моделът разглежда 6 варианта на финансови потоци</w:t>
      </w:r>
      <w:r w:rsidR="00E3646D">
        <w:rPr>
          <w:rFonts w:ascii="Times New Roman" w:hAnsi="Times New Roman" w:cs="Times New Roman"/>
          <w:sz w:val="24"/>
          <w:szCs w:val="24"/>
        </w:rPr>
        <w:t>,</w:t>
      </w:r>
      <w:r w:rsidRPr="00950BDF">
        <w:rPr>
          <w:rFonts w:ascii="Times New Roman" w:hAnsi="Times New Roman" w:cs="Times New Roman"/>
          <w:sz w:val="24"/>
          <w:szCs w:val="24"/>
        </w:rPr>
        <w:t xml:space="preserve"> в зависимост от начина на финансиране на проекта за изграждане на АЕЦ </w:t>
      </w:r>
      <w:r w:rsidR="00E3646D">
        <w:rPr>
          <w:rFonts w:ascii="Times New Roman" w:hAnsi="Times New Roman" w:cs="Times New Roman"/>
          <w:sz w:val="24"/>
          <w:szCs w:val="24"/>
        </w:rPr>
        <w:t>„</w:t>
      </w:r>
      <w:r w:rsidRPr="00950BDF">
        <w:rPr>
          <w:rFonts w:ascii="Times New Roman" w:hAnsi="Times New Roman" w:cs="Times New Roman"/>
          <w:sz w:val="24"/>
          <w:szCs w:val="24"/>
        </w:rPr>
        <w:t>Белене</w:t>
      </w:r>
      <w:r w:rsidR="00E3646D">
        <w:rPr>
          <w:rFonts w:ascii="Times New Roman" w:hAnsi="Times New Roman" w:cs="Times New Roman"/>
          <w:sz w:val="24"/>
          <w:szCs w:val="24"/>
        </w:rPr>
        <w:t>”</w:t>
      </w:r>
      <w:r w:rsidRPr="00950BDF">
        <w:rPr>
          <w:rFonts w:ascii="Times New Roman" w:hAnsi="Times New Roman" w:cs="Times New Roman"/>
          <w:sz w:val="24"/>
          <w:szCs w:val="24"/>
        </w:rPr>
        <w:t>:</w:t>
      </w:r>
    </w:p>
    <w:p w:rsidR="00950BDF" w:rsidRPr="00950BDF" w:rsidRDefault="00950BDF" w:rsidP="002A32DA">
      <w:pPr>
        <w:pStyle w:val="ListParagraph"/>
        <w:numPr>
          <w:ilvl w:val="0"/>
          <w:numId w:val="13"/>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t>Вариант 1 – собственик на проекта – дружество, чийто капитал се притежава 100% от частен инвеститор, а съотношението дълг/собствен капитал е 50</w:t>
      </w:r>
      <w:r w:rsidR="00641D24">
        <w:rPr>
          <w:rFonts w:ascii="Times New Roman" w:hAnsi="Times New Roman" w:cs="Times New Roman"/>
          <w:sz w:val="24"/>
          <w:szCs w:val="24"/>
        </w:rPr>
        <w:t>/</w:t>
      </w:r>
      <w:r w:rsidRPr="00950BDF">
        <w:rPr>
          <w:rFonts w:ascii="Times New Roman" w:hAnsi="Times New Roman" w:cs="Times New Roman"/>
          <w:sz w:val="24"/>
          <w:szCs w:val="24"/>
        </w:rPr>
        <w:t>50.</w:t>
      </w:r>
    </w:p>
    <w:p w:rsidR="00950BDF" w:rsidRPr="00950BDF" w:rsidRDefault="00950BDF" w:rsidP="002A32DA">
      <w:pPr>
        <w:pStyle w:val="ListParagraph"/>
        <w:numPr>
          <w:ilvl w:val="0"/>
          <w:numId w:val="13"/>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t xml:space="preserve">Вариант 2 – собственик на проекта </w:t>
      </w:r>
      <w:r w:rsidR="00E3646D">
        <w:rPr>
          <w:rFonts w:ascii="Times New Roman" w:hAnsi="Times New Roman" w:cs="Times New Roman"/>
          <w:sz w:val="24"/>
          <w:szCs w:val="24"/>
        </w:rPr>
        <w:t>–</w:t>
      </w:r>
      <w:r w:rsidRPr="00950BDF">
        <w:rPr>
          <w:rFonts w:ascii="Times New Roman" w:hAnsi="Times New Roman" w:cs="Times New Roman"/>
          <w:sz w:val="24"/>
          <w:szCs w:val="24"/>
        </w:rPr>
        <w:t xml:space="preserve"> дружество, чийто капитал се притежава 100% от частен инвеститор, а съотношението дълг/собствен капитал е 60</w:t>
      </w:r>
      <w:r w:rsidR="00641D24">
        <w:rPr>
          <w:rFonts w:ascii="Times New Roman" w:hAnsi="Times New Roman" w:cs="Times New Roman"/>
          <w:sz w:val="24"/>
          <w:szCs w:val="24"/>
        </w:rPr>
        <w:t>/</w:t>
      </w:r>
      <w:r w:rsidRPr="00950BDF">
        <w:rPr>
          <w:rFonts w:ascii="Times New Roman" w:hAnsi="Times New Roman" w:cs="Times New Roman"/>
          <w:sz w:val="24"/>
          <w:szCs w:val="24"/>
        </w:rPr>
        <w:t>40.</w:t>
      </w:r>
    </w:p>
    <w:p w:rsidR="00950BDF" w:rsidRPr="00950BDF" w:rsidRDefault="00950BDF" w:rsidP="002A32DA">
      <w:pPr>
        <w:pStyle w:val="ListParagraph"/>
        <w:numPr>
          <w:ilvl w:val="0"/>
          <w:numId w:val="13"/>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t xml:space="preserve">Вариант 3 – собственик на проекта </w:t>
      </w:r>
      <w:r w:rsidR="00E3646D">
        <w:rPr>
          <w:rFonts w:ascii="Times New Roman" w:hAnsi="Times New Roman" w:cs="Times New Roman"/>
          <w:sz w:val="24"/>
          <w:szCs w:val="24"/>
        </w:rPr>
        <w:t>–</w:t>
      </w:r>
      <w:r w:rsidRPr="00950BDF">
        <w:rPr>
          <w:rFonts w:ascii="Times New Roman" w:hAnsi="Times New Roman" w:cs="Times New Roman"/>
          <w:sz w:val="24"/>
          <w:szCs w:val="24"/>
        </w:rPr>
        <w:t xml:space="preserve"> дружество, чийто капитал се притежава 100% от частен инвеститор, а съотношението дълг/собствен капитал е 70</w:t>
      </w:r>
      <w:r w:rsidR="00641D24">
        <w:rPr>
          <w:rFonts w:ascii="Times New Roman" w:hAnsi="Times New Roman" w:cs="Times New Roman"/>
          <w:sz w:val="24"/>
          <w:szCs w:val="24"/>
        </w:rPr>
        <w:t>/</w:t>
      </w:r>
      <w:r w:rsidRPr="00950BDF">
        <w:rPr>
          <w:rFonts w:ascii="Times New Roman" w:hAnsi="Times New Roman" w:cs="Times New Roman"/>
          <w:sz w:val="24"/>
          <w:szCs w:val="24"/>
        </w:rPr>
        <w:t>30.</w:t>
      </w:r>
    </w:p>
    <w:p w:rsidR="00950BDF" w:rsidRPr="00950BDF" w:rsidRDefault="00950BDF" w:rsidP="002A32DA">
      <w:pPr>
        <w:pStyle w:val="ListParagraph"/>
        <w:numPr>
          <w:ilvl w:val="0"/>
          <w:numId w:val="13"/>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t xml:space="preserve">Вариант 4 – собственик на проекта </w:t>
      </w:r>
      <w:r w:rsidR="00E3646D">
        <w:rPr>
          <w:rFonts w:ascii="Times New Roman" w:hAnsi="Times New Roman" w:cs="Times New Roman"/>
          <w:sz w:val="24"/>
          <w:szCs w:val="24"/>
        </w:rPr>
        <w:t>–</w:t>
      </w:r>
      <w:r w:rsidRPr="00950BDF">
        <w:rPr>
          <w:rFonts w:ascii="Times New Roman" w:hAnsi="Times New Roman" w:cs="Times New Roman"/>
          <w:sz w:val="24"/>
          <w:szCs w:val="24"/>
        </w:rPr>
        <w:t xml:space="preserve"> дружество, чийто капитал се притежава от частен инвеститор и българската държава в </w:t>
      </w:r>
      <w:r w:rsidR="00E3646D">
        <w:rPr>
          <w:rFonts w:ascii="Times New Roman" w:hAnsi="Times New Roman" w:cs="Times New Roman"/>
          <w:sz w:val="24"/>
          <w:szCs w:val="24"/>
        </w:rPr>
        <w:t>съотношение</w:t>
      </w:r>
      <w:r w:rsidRPr="00950BDF">
        <w:rPr>
          <w:rFonts w:ascii="Times New Roman" w:hAnsi="Times New Roman" w:cs="Times New Roman"/>
          <w:sz w:val="24"/>
          <w:szCs w:val="24"/>
        </w:rPr>
        <w:t xml:space="preserve"> 77</w:t>
      </w:r>
      <w:r w:rsidR="00010DC4">
        <w:rPr>
          <w:rFonts w:ascii="Times New Roman" w:hAnsi="Times New Roman" w:cs="Times New Roman"/>
          <w:sz w:val="24"/>
          <w:szCs w:val="24"/>
        </w:rPr>
        <w:t>.</w:t>
      </w:r>
      <w:r w:rsidRPr="00950BDF">
        <w:rPr>
          <w:rFonts w:ascii="Times New Roman" w:hAnsi="Times New Roman" w:cs="Times New Roman"/>
          <w:sz w:val="24"/>
          <w:szCs w:val="24"/>
        </w:rPr>
        <w:t>7</w:t>
      </w:r>
      <w:r w:rsidR="00641D24">
        <w:rPr>
          <w:rFonts w:ascii="Times New Roman" w:hAnsi="Times New Roman" w:cs="Times New Roman"/>
          <w:sz w:val="24"/>
          <w:szCs w:val="24"/>
        </w:rPr>
        <w:t>/</w:t>
      </w:r>
      <w:r w:rsidRPr="00950BDF">
        <w:rPr>
          <w:rFonts w:ascii="Times New Roman" w:hAnsi="Times New Roman" w:cs="Times New Roman"/>
          <w:sz w:val="24"/>
          <w:szCs w:val="24"/>
        </w:rPr>
        <w:t>22</w:t>
      </w:r>
      <w:r w:rsidR="00010DC4">
        <w:rPr>
          <w:rFonts w:ascii="Times New Roman" w:hAnsi="Times New Roman" w:cs="Times New Roman"/>
          <w:sz w:val="24"/>
          <w:szCs w:val="24"/>
        </w:rPr>
        <w:t>.</w:t>
      </w:r>
      <w:r w:rsidRPr="00950BDF">
        <w:rPr>
          <w:rFonts w:ascii="Times New Roman" w:hAnsi="Times New Roman" w:cs="Times New Roman"/>
          <w:sz w:val="24"/>
          <w:szCs w:val="24"/>
        </w:rPr>
        <w:t xml:space="preserve">3 (делът на държавата представлява апортна вноска в размер на балансовата стойност на средствата, изразходени за проекта до 2016 г. </w:t>
      </w:r>
      <w:r w:rsidR="00E3646D">
        <w:rPr>
          <w:rFonts w:ascii="Times New Roman" w:hAnsi="Times New Roman" w:cs="Times New Roman"/>
          <w:sz w:val="24"/>
          <w:szCs w:val="24"/>
        </w:rPr>
        <w:t>–</w:t>
      </w:r>
      <w:r w:rsidRPr="00950BDF">
        <w:rPr>
          <w:rFonts w:ascii="Times New Roman" w:hAnsi="Times New Roman" w:cs="Times New Roman"/>
          <w:sz w:val="24"/>
          <w:szCs w:val="24"/>
        </w:rPr>
        <w:t xml:space="preserve"> 1</w:t>
      </w:r>
      <w:r w:rsidR="00010DC4">
        <w:rPr>
          <w:rFonts w:ascii="Times New Roman" w:hAnsi="Times New Roman" w:cs="Times New Roman"/>
          <w:sz w:val="24"/>
          <w:szCs w:val="24"/>
        </w:rPr>
        <w:t>.</w:t>
      </w:r>
      <w:r w:rsidRPr="00950BDF">
        <w:rPr>
          <w:rFonts w:ascii="Times New Roman" w:hAnsi="Times New Roman" w:cs="Times New Roman"/>
          <w:sz w:val="24"/>
          <w:szCs w:val="24"/>
        </w:rPr>
        <w:t>17 млрд. евро), а съотношението дълг/собствен капитал е 50</w:t>
      </w:r>
      <w:r w:rsidR="00641D24">
        <w:rPr>
          <w:rFonts w:ascii="Times New Roman" w:hAnsi="Times New Roman" w:cs="Times New Roman"/>
          <w:sz w:val="24"/>
          <w:szCs w:val="24"/>
        </w:rPr>
        <w:t>/</w:t>
      </w:r>
      <w:r w:rsidRPr="00950BDF">
        <w:rPr>
          <w:rFonts w:ascii="Times New Roman" w:hAnsi="Times New Roman" w:cs="Times New Roman"/>
          <w:sz w:val="24"/>
          <w:szCs w:val="24"/>
        </w:rPr>
        <w:t>50.</w:t>
      </w:r>
    </w:p>
    <w:p w:rsidR="00950BDF" w:rsidRPr="00950BDF" w:rsidRDefault="00950BDF" w:rsidP="002A32DA">
      <w:pPr>
        <w:pStyle w:val="ListParagraph"/>
        <w:numPr>
          <w:ilvl w:val="0"/>
          <w:numId w:val="13"/>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t xml:space="preserve">Вариант 5 – собственик на проекта </w:t>
      </w:r>
      <w:r w:rsidR="00E3646D">
        <w:rPr>
          <w:rFonts w:ascii="Times New Roman" w:hAnsi="Times New Roman" w:cs="Times New Roman"/>
          <w:sz w:val="24"/>
          <w:szCs w:val="24"/>
        </w:rPr>
        <w:t>–</w:t>
      </w:r>
      <w:r w:rsidRPr="00950BDF">
        <w:rPr>
          <w:rFonts w:ascii="Times New Roman" w:hAnsi="Times New Roman" w:cs="Times New Roman"/>
          <w:sz w:val="24"/>
          <w:szCs w:val="24"/>
        </w:rPr>
        <w:t xml:space="preserve"> дружество, чийто капитал се притежава от частен инвеститор и българската държава в </w:t>
      </w:r>
      <w:r w:rsidR="00E3646D">
        <w:rPr>
          <w:rFonts w:ascii="Times New Roman" w:hAnsi="Times New Roman" w:cs="Times New Roman"/>
          <w:sz w:val="24"/>
          <w:szCs w:val="24"/>
        </w:rPr>
        <w:t>съотношение</w:t>
      </w:r>
      <w:r w:rsidRPr="00950BDF">
        <w:rPr>
          <w:rFonts w:ascii="Times New Roman" w:hAnsi="Times New Roman" w:cs="Times New Roman"/>
          <w:sz w:val="24"/>
          <w:szCs w:val="24"/>
        </w:rPr>
        <w:t xml:space="preserve"> 72</w:t>
      </w:r>
      <w:r w:rsidR="00010DC4">
        <w:rPr>
          <w:rFonts w:ascii="Times New Roman" w:hAnsi="Times New Roman" w:cs="Times New Roman"/>
          <w:sz w:val="24"/>
          <w:szCs w:val="24"/>
        </w:rPr>
        <w:t>.</w:t>
      </w:r>
      <w:r w:rsidRPr="00950BDF">
        <w:rPr>
          <w:rFonts w:ascii="Times New Roman" w:hAnsi="Times New Roman" w:cs="Times New Roman"/>
          <w:sz w:val="24"/>
          <w:szCs w:val="24"/>
        </w:rPr>
        <w:t>1</w:t>
      </w:r>
      <w:r w:rsidR="00641D24">
        <w:rPr>
          <w:rFonts w:ascii="Times New Roman" w:hAnsi="Times New Roman" w:cs="Times New Roman"/>
          <w:sz w:val="24"/>
          <w:szCs w:val="24"/>
        </w:rPr>
        <w:t>/</w:t>
      </w:r>
      <w:r w:rsidRPr="00950BDF">
        <w:rPr>
          <w:rFonts w:ascii="Times New Roman" w:hAnsi="Times New Roman" w:cs="Times New Roman"/>
          <w:sz w:val="24"/>
          <w:szCs w:val="24"/>
        </w:rPr>
        <w:t>27</w:t>
      </w:r>
      <w:r w:rsidR="00010DC4">
        <w:rPr>
          <w:rFonts w:ascii="Times New Roman" w:hAnsi="Times New Roman" w:cs="Times New Roman"/>
          <w:sz w:val="24"/>
          <w:szCs w:val="24"/>
        </w:rPr>
        <w:t>.</w:t>
      </w:r>
      <w:r w:rsidRPr="00950BDF">
        <w:rPr>
          <w:rFonts w:ascii="Times New Roman" w:hAnsi="Times New Roman" w:cs="Times New Roman"/>
          <w:sz w:val="24"/>
          <w:szCs w:val="24"/>
        </w:rPr>
        <w:t xml:space="preserve">9 (делът на държавата представлява апортна вноска в размер на балансовата стойност на средствата, изразходени за проекта до 2016 г. </w:t>
      </w:r>
      <w:r w:rsidR="00E3646D">
        <w:rPr>
          <w:rFonts w:ascii="Times New Roman" w:hAnsi="Times New Roman" w:cs="Times New Roman"/>
          <w:sz w:val="24"/>
          <w:szCs w:val="24"/>
        </w:rPr>
        <w:t>–</w:t>
      </w:r>
      <w:r w:rsidRPr="00950BDF">
        <w:rPr>
          <w:rFonts w:ascii="Times New Roman" w:hAnsi="Times New Roman" w:cs="Times New Roman"/>
          <w:sz w:val="24"/>
          <w:szCs w:val="24"/>
        </w:rPr>
        <w:t xml:space="preserve"> 1</w:t>
      </w:r>
      <w:r w:rsidR="00010DC4">
        <w:rPr>
          <w:rFonts w:ascii="Times New Roman" w:hAnsi="Times New Roman" w:cs="Times New Roman"/>
          <w:sz w:val="24"/>
          <w:szCs w:val="24"/>
        </w:rPr>
        <w:t>.</w:t>
      </w:r>
      <w:r w:rsidRPr="00950BDF">
        <w:rPr>
          <w:rFonts w:ascii="Times New Roman" w:hAnsi="Times New Roman" w:cs="Times New Roman"/>
          <w:sz w:val="24"/>
          <w:szCs w:val="24"/>
        </w:rPr>
        <w:t>17 млрд. евро), а съотношението дълг/собствен капитал е 60</w:t>
      </w:r>
      <w:r w:rsidR="00641D24">
        <w:rPr>
          <w:rFonts w:ascii="Times New Roman" w:hAnsi="Times New Roman" w:cs="Times New Roman"/>
          <w:sz w:val="24"/>
          <w:szCs w:val="24"/>
        </w:rPr>
        <w:t>/</w:t>
      </w:r>
      <w:r w:rsidRPr="00950BDF">
        <w:rPr>
          <w:rFonts w:ascii="Times New Roman" w:hAnsi="Times New Roman" w:cs="Times New Roman"/>
          <w:sz w:val="24"/>
          <w:szCs w:val="24"/>
        </w:rPr>
        <w:t>40.</w:t>
      </w:r>
    </w:p>
    <w:p w:rsidR="00950BDF" w:rsidRPr="00950BDF" w:rsidRDefault="00950BDF" w:rsidP="002A32DA">
      <w:pPr>
        <w:pStyle w:val="ListParagraph"/>
        <w:numPr>
          <w:ilvl w:val="0"/>
          <w:numId w:val="13"/>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t xml:space="preserve">Вариант 6 – собственик на проекта </w:t>
      </w:r>
      <w:r w:rsidR="00E3646D">
        <w:rPr>
          <w:rFonts w:ascii="Times New Roman" w:hAnsi="Times New Roman" w:cs="Times New Roman"/>
          <w:sz w:val="24"/>
          <w:szCs w:val="24"/>
        </w:rPr>
        <w:t>–</w:t>
      </w:r>
      <w:r w:rsidRPr="00950BDF">
        <w:rPr>
          <w:rFonts w:ascii="Times New Roman" w:hAnsi="Times New Roman" w:cs="Times New Roman"/>
          <w:sz w:val="24"/>
          <w:szCs w:val="24"/>
        </w:rPr>
        <w:t xml:space="preserve"> дружество, чийто капитал се притежава от частен инвеститор и българската държава в </w:t>
      </w:r>
      <w:r w:rsidR="00E3646D">
        <w:rPr>
          <w:rFonts w:ascii="Times New Roman" w:hAnsi="Times New Roman" w:cs="Times New Roman"/>
          <w:sz w:val="24"/>
          <w:szCs w:val="24"/>
        </w:rPr>
        <w:t>съотношение</w:t>
      </w:r>
      <w:r w:rsidRPr="00950BDF">
        <w:rPr>
          <w:rFonts w:ascii="Times New Roman" w:hAnsi="Times New Roman" w:cs="Times New Roman"/>
          <w:sz w:val="24"/>
          <w:szCs w:val="24"/>
        </w:rPr>
        <w:t xml:space="preserve"> 62</w:t>
      </w:r>
      <w:r w:rsidR="00010DC4">
        <w:rPr>
          <w:rFonts w:ascii="Times New Roman" w:hAnsi="Times New Roman" w:cs="Times New Roman"/>
          <w:sz w:val="24"/>
          <w:szCs w:val="24"/>
        </w:rPr>
        <w:t>.</w:t>
      </w:r>
      <w:r w:rsidRPr="00950BDF">
        <w:rPr>
          <w:rFonts w:ascii="Times New Roman" w:hAnsi="Times New Roman" w:cs="Times New Roman"/>
          <w:sz w:val="24"/>
          <w:szCs w:val="24"/>
        </w:rPr>
        <w:t>8</w:t>
      </w:r>
      <w:r w:rsidR="00641D24">
        <w:rPr>
          <w:rFonts w:ascii="Times New Roman" w:hAnsi="Times New Roman" w:cs="Times New Roman"/>
          <w:sz w:val="24"/>
          <w:szCs w:val="24"/>
        </w:rPr>
        <w:t>/</w:t>
      </w:r>
      <w:r w:rsidRPr="00950BDF">
        <w:rPr>
          <w:rFonts w:ascii="Times New Roman" w:hAnsi="Times New Roman" w:cs="Times New Roman"/>
          <w:sz w:val="24"/>
          <w:szCs w:val="24"/>
        </w:rPr>
        <w:t>37</w:t>
      </w:r>
      <w:r w:rsidR="00010DC4">
        <w:rPr>
          <w:rFonts w:ascii="Times New Roman" w:hAnsi="Times New Roman" w:cs="Times New Roman"/>
          <w:sz w:val="24"/>
          <w:szCs w:val="24"/>
        </w:rPr>
        <w:t>.</w:t>
      </w:r>
      <w:r w:rsidRPr="00950BDF">
        <w:rPr>
          <w:rFonts w:ascii="Times New Roman" w:hAnsi="Times New Roman" w:cs="Times New Roman"/>
          <w:sz w:val="24"/>
          <w:szCs w:val="24"/>
        </w:rPr>
        <w:t xml:space="preserve">2 (делът на държавата представлява апортна вноска в размер на балансовата стойност на средствата, изразходени за проекта до 2016 г. </w:t>
      </w:r>
      <w:r w:rsidR="00E3646D">
        <w:rPr>
          <w:rFonts w:ascii="Times New Roman" w:hAnsi="Times New Roman" w:cs="Times New Roman"/>
          <w:sz w:val="24"/>
          <w:szCs w:val="24"/>
        </w:rPr>
        <w:t>–</w:t>
      </w:r>
      <w:r w:rsidRPr="00950BDF">
        <w:rPr>
          <w:rFonts w:ascii="Times New Roman" w:hAnsi="Times New Roman" w:cs="Times New Roman"/>
          <w:sz w:val="24"/>
          <w:szCs w:val="24"/>
        </w:rPr>
        <w:t xml:space="preserve"> 1</w:t>
      </w:r>
      <w:r w:rsidR="00010DC4">
        <w:rPr>
          <w:rFonts w:ascii="Times New Roman" w:hAnsi="Times New Roman" w:cs="Times New Roman"/>
          <w:sz w:val="24"/>
          <w:szCs w:val="24"/>
        </w:rPr>
        <w:t>.</w:t>
      </w:r>
      <w:r w:rsidRPr="00950BDF">
        <w:rPr>
          <w:rFonts w:ascii="Times New Roman" w:hAnsi="Times New Roman" w:cs="Times New Roman"/>
          <w:sz w:val="24"/>
          <w:szCs w:val="24"/>
        </w:rPr>
        <w:t>17 млрд. евро), а съотношението дълг/собствен капитал е 70</w:t>
      </w:r>
      <w:r w:rsidR="00641D24">
        <w:rPr>
          <w:rFonts w:ascii="Times New Roman" w:hAnsi="Times New Roman" w:cs="Times New Roman"/>
          <w:sz w:val="24"/>
          <w:szCs w:val="24"/>
        </w:rPr>
        <w:t>/</w:t>
      </w:r>
      <w:r w:rsidRPr="00950BDF">
        <w:rPr>
          <w:rFonts w:ascii="Times New Roman" w:hAnsi="Times New Roman" w:cs="Times New Roman"/>
          <w:sz w:val="24"/>
          <w:szCs w:val="24"/>
        </w:rPr>
        <w:t>30.</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За всеки от посочените 6 варианта са изчислени финансови потоци и показатели за оценка на варианта. Методологията за това е разгледана в следващите части на доклада. Моделът дава възможност финансовите потоци и показателите за всеки вариант да се тестват по 5 ценови сценария и 2 нива на натоварване на мощностите (</w:t>
      </w:r>
      <w:r w:rsidRPr="00950BDF">
        <w:rPr>
          <w:rFonts w:ascii="Times New Roman" w:hAnsi="Times New Roman" w:cs="Times New Roman"/>
          <w:sz w:val="24"/>
          <w:szCs w:val="24"/>
          <w:lang w:val="en-US"/>
        </w:rPr>
        <w:t>dispatching rate).</w:t>
      </w:r>
    </w:p>
    <w:p w:rsidR="00950BDF" w:rsidRPr="00950BDF" w:rsidRDefault="00950BDF" w:rsidP="00E44C19">
      <w:pPr>
        <w:spacing w:before="120" w:after="120" w:line="240" w:lineRule="auto"/>
        <w:rPr>
          <w:rFonts w:ascii="Times New Roman" w:hAnsi="Times New Roman" w:cs="Times New Roman"/>
          <w:sz w:val="24"/>
          <w:szCs w:val="24"/>
        </w:rPr>
      </w:pPr>
    </w:p>
    <w:p w:rsidR="00950BDF" w:rsidRPr="00395C54" w:rsidRDefault="00950BDF" w:rsidP="002A32DA">
      <w:pPr>
        <w:pStyle w:val="Heading3"/>
        <w:numPr>
          <w:ilvl w:val="2"/>
          <w:numId w:val="24"/>
        </w:numPr>
        <w:spacing w:before="120" w:after="120" w:line="240" w:lineRule="auto"/>
        <w:ind w:left="567" w:hanging="567"/>
        <w:jc w:val="both"/>
        <w:rPr>
          <w:rFonts w:ascii="Times New Roman" w:hAnsi="Times New Roman" w:cs="Times New Roman"/>
          <w:b w:val="0"/>
          <w:color w:val="auto"/>
          <w:sz w:val="24"/>
          <w:szCs w:val="24"/>
          <w:u w:val="single"/>
        </w:rPr>
      </w:pPr>
      <w:bookmarkStart w:id="89" w:name="_Toc489886926"/>
      <w:bookmarkStart w:id="90" w:name="_Toc491994399"/>
      <w:bookmarkStart w:id="91" w:name="_Toc492991258"/>
      <w:bookmarkStart w:id="92" w:name="_Toc492991318"/>
      <w:bookmarkStart w:id="93" w:name="_Toc492991341"/>
      <w:r w:rsidRPr="00395C54">
        <w:rPr>
          <w:rFonts w:ascii="Times New Roman" w:hAnsi="Times New Roman" w:cs="Times New Roman"/>
          <w:b w:val="0"/>
          <w:color w:val="auto"/>
          <w:sz w:val="24"/>
          <w:szCs w:val="24"/>
          <w:u w:val="single"/>
        </w:rPr>
        <w:t>Основни допускания</w:t>
      </w:r>
      <w:bookmarkEnd w:id="89"/>
      <w:bookmarkEnd w:id="90"/>
      <w:bookmarkEnd w:id="91"/>
      <w:bookmarkEnd w:id="92"/>
      <w:bookmarkEnd w:id="93"/>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Финансовият модел е изграден при следните основни допускания.</w:t>
      </w:r>
    </w:p>
    <w:p w:rsidR="00950BDF" w:rsidRPr="00950BDF" w:rsidRDefault="00950BDF" w:rsidP="00E44C19">
      <w:pPr>
        <w:spacing w:before="120" w:after="120" w:line="240" w:lineRule="auto"/>
        <w:jc w:val="both"/>
        <w:rPr>
          <w:rFonts w:ascii="Times New Roman" w:hAnsi="Times New Roman" w:cs="Times New Roman"/>
          <w:sz w:val="24"/>
          <w:szCs w:val="24"/>
        </w:rPr>
      </w:pPr>
    </w:p>
    <w:p w:rsidR="00950BDF" w:rsidRPr="00395C54" w:rsidRDefault="00950BDF" w:rsidP="00E44C19">
      <w:pPr>
        <w:pStyle w:val="Heading4"/>
        <w:spacing w:before="120" w:after="120" w:line="240" w:lineRule="auto"/>
        <w:jc w:val="both"/>
        <w:rPr>
          <w:rFonts w:ascii="Times New Roman" w:hAnsi="Times New Roman" w:cs="Times New Roman"/>
          <w:color w:val="auto"/>
          <w:sz w:val="24"/>
          <w:szCs w:val="24"/>
        </w:rPr>
      </w:pPr>
      <w:r w:rsidRPr="00395C54">
        <w:rPr>
          <w:rFonts w:ascii="Times New Roman" w:hAnsi="Times New Roman" w:cs="Times New Roman"/>
          <w:color w:val="auto"/>
          <w:sz w:val="24"/>
          <w:szCs w:val="24"/>
        </w:rPr>
        <w:t>Основни допускания за времевото изпълнение на проекта – изграждане и експлоатация</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Основните допускания за изграждането и експлоатацията на АЕЦ „Белене“ въз основа на предвиденото в техническия проект са следните:</w:t>
      </w:r>
    </w:p>
    <w:p w:rsidR="00950BDF" w:rsidRPr="00950BDF" w:rsidRDefault="00950BDF" w:rsidP="004464CF">
      <w:pPr>
        <w:keepNext/>
        <w:spacing w:before="120" w:after="120" w:line="240" w:lineRule="auto"/>
        <w:jc w:val="both"/>
        <w:rPr>
          <w:rFonts w:ascii="Times New Roman" w:hAnsi="Times New Roman" w:cs="Times New Roman"/>
          <w:sz w:val="24"/>
          <w:szCs w:val="24"/>
        </w:rPr>
      </w:pPr>
      <w:r w:rsidRPr="00950BDF">
        <w:rPr>
          <w:rFonts w:ascii="Times New Roman" w:hAnsi="Times New Roman" w:cs="Times New Roman"/>
          <w:b/>
          <w:bCs/>
          <w:sz w:val="24"/>
          <w:szCs w:val="24"/>
        </w:rPr>
        <w:t>Блок 1</w:t>
      </w:r>
    </w:p>
    <w:p w:rsidR="00950BDF" w:rsidRPr="00950BDF" w:rsidRDefault="00950BDF" w:rsidP="002A32DA">
      <w:pPr>
        <w:pStyle w:val="ListParagraph"/>
        <w:numPr>
          <w:ilvl w:val="0"/>
          <w:numId w:val="13"/>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t xml:space="preserve">Изграждане: </w:t>
      </w:r>
      <w:r w:rsidR="00E3646D">
        <w:rPr>
          <w:rFonts w:ascii="Times New Roman" w:hAnsi="Times New Roman" w:cs="Times New Roman"/>
          <w:sz w:val="24"/>
          <w:szCs w:val="24"/>
        </w:rPr>
        <w:t>0</w:t>
      </w:r>
      <w:r w:rsidRPr="00950BDF">
        <w:rPr>
          <w:rFonts w:ascii="Times New Roman" w:hAnsi="Times New Roman" w:cs="Times New Roman"/>
          <w:sz w:val="24"/>
          <w:szCs w:val="24"/>
        </w:rPr>
        <w:t>1.01.2019 – 31.12.2026 г.</w:t>
      </w:r>
    </w:p>
    <w:p w:rsidR="00950BDF" w:rsidRPr="00950BDF" w:rsidRDefault="00950BDF" w:rsidP="002A32DA">
      <w:pPr>
        <w:pStyle w:val="ListParagraph"/>
        <w:numPr>
          <w:ilvl w:val="0"/>
          <w:numId w:val="13"/>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t xml:space="preserve">Експлоатация: </w:t>
      </w:r>
      <w:r w:rsidR="00E3646D">
        <w:rPr>
          <w:rFonts w:ascii="Times New Roman" w:hAnsi="Times New Roman" w:cs="Times New Roman"/>
          <w:sz w:val="24"/>
          <w:szCs w:val="24"/>
        </w:rPr>
        <w:t>0</w:t>
      </w:r>
      <w:r w:rsidRPr="00950BDF">
        <w:rPr>
          <w:rFonts w:ascii="Times New Roman" w:hAnsi="Times New Roman" w:cs="Times New Roman"/>
          <w:sz w:val="24"/>
          <w:szCs w:val="24"/>
        </w:rPr>
        <w:t>1.01.2027 – 31.12.2086 г. (60 години)</w:t>
      </w:r>
    </w:p>
    <w:p w:rsidR="00950BDF" w:rsidRPr="00950BDF" w:rsidRDefault="00950BDF" w:rsidP="002A32DA">
      <w:pPr>
        <w:pStyle w:val="ListParagraph"/>
        <w:numPr>
          <w:ilvl w:val="0"/>
          <w:numId w:val="13"/>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t>Извеждане</w:t>
      </w:r>
      <w:r w:rsidRPr="00950BDF">
        <w:rPr>
          <w:rFonts w:ascii="Times New Roman" w:hAnsi="Times New Roman" w:cs="Times New Roman"/>
          <w:bCs/>
          <w:sz w:val="24"/>
          <w:szCs w:val="24"/>
        </w:rPr>
        <w:t xml:space="preserve"> от експлоатация: </w:t>
      </w:r>
      <w:r w:rsidR="00E3646D">
        <w:rPr>
          <w:rFonts w:ascii="Times New Roman" w:hAnsi="Times New Roman" w:cs="Times New Roman"/>
          <w:bCs/>
          <w:sz w:val="24"/>
          <w:szCs w:val="24"/>
        </w:rPr>
        <w:t>0</w:t>
      </w:r>
      <w:r w:rsidRPr="00950BDF">
        <w:rPr>
          <w:rFonts w:ascii="Times New Roman" w:hAnsi="Times New Roman" w:cs="Times New Roman"/>
          <w:bCs/>
          <w:sz w:val="24"/>
          <w:szCs w:val="24"/>
        </w:rPr>
        <w:t>1.01.2087 – 31.12.2096 г. (10 години).</w:t>
      </w:r>
    </w:p>
    <w:p w:rsidR="00950BDF" w:rsidRPr="00950BDF" w:rsidRDefault="00950BDF" w:rsidP="00E44C19">
      <w:pPr>
        <w:spacing w:before="120" w:after="120" w:line="240" w:lineRule="auto"/>
        <w:jc w:val="both"/>
        <w:rPr>
          <w:rFonts w:ascii="Times New Roman" w:hAnsi="Times New Roman" w:cs="Times New Roman"/>
          <w:b/>
          <w:bCs/>
          <w:sz w:val="24"/>
          <w:szCs w:val="24"/>
        </w:rPr>
      </w:pPr>
      <w:r w:rsidRPr="00950BDF">
        <w:rPr>
          <w:rFonts w:ascii="Times New Roman" w:hAnsi="Times New Roman" w:cs="Times New Roman"/>
          <w:b/>
          <w:bCs/>
          <w:sz w:val="24"/>
          <w:szCs w:val="24"/>
        </w:rPr>
        <w:lastRenderedPageBreak/>
        <w:t>Блок 2</w:t>
      </w:r>
    </w:p>
    <w:p w:rsidR="00950BDF" w:rsidRPr="00950BDF" w:rsidRDefault="00950BDF" w:rsidP="002A32DA">
      <w:pPr>
        <w:pStyle w:val="ListParagraph"/>
        <w:numPr>
          <w:ilvl w:val="0"/>
          <w:numId w:val="13"/>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t xml:space="preserve">Изграждане: </w:t>
      </w:r>
      <w:r w:rsidR="00E3646D">
        <w:rPr>
          <w:rFonts w:ascii="Times New Roman" w:hAnsi="Times New Roman" w:cs="Times New Roman"/>
          <w:sz w:val="24"/>
          <w:szCs w:val="24"/>
        </w:rPr>
        <w:t>0</w:t>
      </w:r>
      <w:r w:rsidRPr="00950BDF">
        <w:rPr>
          <w:rFonts w:ascii="Times New Roman" w:hAnsi="Times New Roman" w:cs="Times New Roman"/>
          <w:sz w:val="24"/>
          <w:szCs w:val="24"/>
        </w:rPr>
        <w:t>1.01.2020 – 31.12.2027 г.</w:t>
      </w:r>
    </w:p>
    <w:p w:rsidR="00950BDF" w:rsidRPr="00950BDF" w:rsidRDefault="00950BDF" w:rsidP="002A32DA">
      <w:pPr>
        <w:pStyle w:val="ListParagraph"/>
        <w:numPr>
          <w:ilvl w:val="0"/>
          <w:numId w:val="13"/>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t xml:space="preserve">Експлоатация: </w:t>
      </w:r>
      <w:r w:rsidR="00E3646D">
        <w:rPr>
          <w:rFonts w:ascii="Times New Roman" w:hAnsi="Times New Roman" w:cs="Times New Roman"/>
          <w:sz w:val="24"/>
          <w:szCs w:val="24"/>
        </w:rPr>
        <w:t>0</w:t>
      </w:r>
      <w:r w:rsidRPr="00950BDF">
        <w:rPr>
          <w:rFonts w:ascii="Times New Roman" w:hAnsi="Times New Roman" w:cs="Times New Roman"/>
          <w:sz w:val="24"/>
          <w:szCs w:val="24"/>
        </w:rPr>
        <w:t>1.01.2028 – 31.12.2087 г. (60 години)</w:t>
      </w:r>
    </w:p>
    <w:p w:rsidR="00950BDF" w:rsidRPr="00950BDF" w:rsidRDefault="00950BDF" w:rsidP="002A32DA">
      <w:pPr>
        <w:pStyle w:val="ListParagraph"/>
        <w:numPr>
          <w:ilvl w:val="0"/>
          <w:numId w:val="13"/>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t>Извеждане</w:t>
      </w:r>
      <w:r w:rsidRPr="00950BDF">
        <w:rPr>
          <w:rFonts w:ascii="Times New Roman" w:hAnsi="Times New Roman" w:cs="Times New Roman"/>
          <w:bCs/>
          <w:sz w:val="24"/>
          <w:szCs w:val="24"/>
        </w:rPr>
        <w:t xml:space="preserve"> от експлоатация: </w:t>
      </w:r>
      <w:r w:rsidR="00E3646D">
        <w:rPr>
          <w:rFonts w:ascii="Times New Roman" w:hAnsi="Times New Roman" w:cs="Times New Roman"/>
          <w:bCs/>
          <w:sz w:val="24"/>
          <w:szCs w:val="24"/>
        </w:rPr>
        <w:t>0</w:t>
      </w:r>
      <w:r w:rsidRPr="00950BDF">
        <w:rPr>
          <w:rFonts w:ascii="Times New Roman" w:hAnsi="Times New Roman" w:cs="Times New Roman"/>
          <w:bCs/>
          <w:sz w:val="24"/>
          <w:szCs w:val="24"/>
        </w:rPr>
        <w:t>1.01.2088 – 31.12.2097 г. (10 години).</w:t>
      </w:r>
    </w:p>
    <w:p w:rsidR="00950BDF" w:rsidRPr="00950BDF" w:rsidRDefault="00950BDF" w:rsidP="00E44C19">
      <w:pPr>
        <w:spacing w:before="120" w:after="120" w:line="240" w:lineRule="auto"/>
        <w:jc w:val="both"/>
        <w:rPr>
          <w:rFonts w:ascii="Times New Roman" w:hAnsi="Times New Roman" w:cs="Times New Roman"/>
          <w:sz w:val="24"/>
          <w:szCs w:val="24"/>
        </w:rPr>
      </w:pPr>
    </w:p>
    <w:p w:rsidR="00950BDF" w:rsidRPr="00395C54" w:rsidRDefault="00950BDF" w:rsidP="00E44C19">
      <w:pPr>
        <w:pStyle w:val="Heading4"/>
        <w:spacing w:before="120" w:after="120" w:line="240" w:lineRule="auto"/>
        <w:jc w:val="both"/>
        <w:rPr>
          <w:rFonts w:ascii="Times New Roman" w:hAnsi="Times New Roman" w:cs="Times New Roman"/>
          <w:color w:val="auto"/>
          <w:sz w:val="24"/>
          <w:szCs w:val="24"/>
        </w:rPr>
      </w:pPr>
      <w:r w:rsidRPr="00395C54">
        <w:rPr>
          <w:rFonts w:ascii="Times New Roman" w:hAnsi="Times New Roman" w:cs="Times New Roman"/>
          <w:color w:val="auto"/>
          <w:sz w:val="24"/>
          <w:szCs w:val="24"/>
        </w:rPr>
        <w:t>Основни допускания за инвестиционните разходи на проекта</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Подходът при съставяне на инвестиционните разходи на проекта се основава на първоначалния бюджет на проекта А-92 за АЕЦ „Белене“, който съдържа подраздели по пера. По-късно за формиране на общия бюджет са направени търговски отстъпки, които не са съотносими към настоящия анализ</w:t>
      </w:r>
      <w:r w:rsidR="00806372">
        <w:rPr>
          <w:rFonts w:ascii="Times New Roman" w:hAnsi="Times New Roman" w:cs="Times New Roman"/>
          <w:sz w:val="24"/>
          <w:szCs w:val="24"/>
        </w:rPr>
        <w:t>,</w:t>
      </w:r>
      <w:r w:rsidRPr="00950BDF">
        <w:rPr>
          <w:rFonts w:ascii="Times New Roman" w:hAnsi="Times New Roman" w:cs="Times New Roman"/>
          <w:sz w:val="24"/>
          <w:szCs w:val="24"/>
        </w:rPr>
        <w:t xml:space="preserve"> и са подписвани споразумения за проектиране и разрушителни дейности, които се отчитат като допълнителни дейности. </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Направени са оценки за изпълнени дейности, спрямо първоначалното планиране на база на данни от НЕК и експертни оценки.</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През 2010 г</w:t>
      </w:r>
      <w:r w:rsidR="00FE171E">
        <w:rPr>
          <w:rFonts w:ascii="Times New Roman" w:hAnsi="Times New Roman" w:cs="Times New Roman"/>
          <w:sz w:val="24"/>
          <w:szCs w:val="24"/>
        </w:rPr>
        <w:t>.</w:t>
      </w:r>
      <w:r w:rsidRPr="00950BDF">
        <w:rPr>
          <w:rFonts w:ascii="Times New Roman" w:hAnsi="Times New Roman" w:cs="Times New Roman"/>
          <w:sz w:val="24"/>
          <w:szCs w:val="24"/>
        </w:rPr>
        <w:t xml:space="preserve"> по искане на българското правителство е направена оценка на проекта „под ключ“ с включена ескалация на началните разходи. Тя е използвана за база за формиране на очаквана стойност на проекта към днешна дата. Оценката е направени на база на инфлация, съответно 5% за Руската федерация и 2% за ЕС. При нея не са отчетени възможни промени на пазара на ядрени технологии и актуалната търговска политика на Росатом, което ще се прилага при евентуални бъдещи преговори с българската страна. </w:t>
      </w:r>
    </w:p>
    <w:p w:rsid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Представените в първа колона на табл</w:t>
      </w:r>
      <w:r w:rsidR="00E3646D">
        <w:rPr>
          <w:rFonts w:ascii="Times New Roman" w:hAnsi="Times New Roman" w:cs="Times New Roman"/>
          <w:sz w:val="24"/>
          <w:szCs w:val="24"/>
        </w:rPr>
        <w:t>. V.</w:t>
      </w:r>
      <w:r w:rsidR="002F633F">
        <w:rPr>
          <w:rFonts w:ascii="Times New Roman" w:hAnsi="Times New Roman" w:cs="Times New Roman"/>
          <w:sz w:val="24"/>
          <w:szCs w:val="24"/>
          <w:lang w:val="en-US"/>
        </w:rPr>
        <w:t>3</w:t>
      </w:r>
      <w:r w:rsidRPr="00950BDF">
        <w:rPr>
          <w:rFonts w:ascii="Times New Roman" w:hAnsi="Times New Roman" w:cs="Times New Roman"/>
          <w:sz w:val="24"/>
          <w:szCs w:val="24"/>
        </w:rPr>
        <w:t xml:space="preserve"> инвестиционни разходи по проекта формират т.нар</w:t>
      </w:r>
      <w:r w:rsidRPr="00950BDF">
        <w:rPr>
          <w:rFonts w:ascii="Times New Roman" w:hAnsi="Times New Roman" w:cs="Times New Roman"/>
          <w:sz w:val="24"/>
          <w:szCs w:val="24"/>
          <w:lang w:val="en-US"/>
        </w:rPr>
        <w:t xml:space="preserve">. overnight costs. </w:t>
      </w:r>
      <w:r w:rsidRPr="00950BDF">
        <w:rPr>
          <w:rFonts w:ascii="Times New Roman" w:hAnsi="Times New Roman" w:cs="Times New Roman"/>
          <w:sz w:val="24"/>
          <w:szCs w:val="24"/>
        </w:rPr>
        <w:t>Техните стойности са към настоящия момент и предвид факта, че изграждането на проекта ще стартира през 2019 г. и ще приключи през 2027 г.</w:t>
      </w:r>
      <w:r w:rsidR="00FE171E">
        <w:rPr>
          <w:rFonts w:ascii="Times New Roman" w:hAnsi="Times New Roman" w:cs="Times New Roman"/>
          <w:sz w:val="24"/>
          <w:szCs w:val="24"/>
        </w:rPr>
        <w:t>,</w:t>
      </w:r>
      <w:r w:rsidRPr="00950BDF">
        <w:rPr>
          <w:rFonts w:ascii="Times New Roman" w:hAnsi="Times New Roman" w:cs="Times New Roman"/>
          <w:sz w:val="24"/>
          <w:szCs w:val="24"/>
        </w:rPr>
        <w:t xml:space="preserve"> е необходимо допълнително да бъдат индексирани, за да бъде отчетено изменението в ценовите равнища. За целта са изчислени съответните индекси, като отделните компоненти на инвестиционните разходи са ескалирани при допускането, че доставките на оборудване от Русия и управлението в Русия ще се изменят в зависимост от изменението на ценовите нива в Русия, а всички останали компоненти ще се изменят в зависимост от прогнозните ценови нива в ЕС. Ескалираните стойности на капиталовите разходи за периода 2019-2027 г. са представени в трета колона на </w:t>
      </w:r>
      <w:r w:rsidR="00FE171E" w:rsidRPr="00950BDF">
        <w:rPr>
          <w:rFonts w:ascii="Times New Roman" w:hAnsi="Times New Roman" w:cs="Times New Roman"/>
          <w:sz w:val="24"/>
          <w:szCs w:val="24"/>
        </w:rPr>
        <w:t>табл</w:t>
      </w:r>
      <w:r w:rsidR="00FE171E">
        <w:rPr>
          <w:rFonts w:ascii="Times New Roman" w:hAnsi="Times New Roman" w:cs="Times New Roman"/>
          <w:sz w:val="24"/>
          <w:szCs w:val="24"/>
        </w:rPr>
        <w:t>. V.</w:t>
      </w:r>
      <w:r w:rsidR="002F633F">
        <w:rPr>
          <w:rFonts w:ascii="Times New Roman" w:hAnsi="Times New Roman" w:cs="Times New Roman"/>
          <w:sz w:val="24"/>
          <w:szCs w:val="24"/>
          <w:lang w:val="en-US"/>
        </w:rPr>
        <w:t>3</w:t>
      </w:r>
      <w:r w:rsidRPr="00950BDF">
        <w:rPr>
          <w:rFonts w:ascii="Times New Roman" w:hAnsi="Times New Roman" w:cs="Times New Roman"/>
          <w:sz w:val="24"/>
          <w:szCs w:val="24"/>
        </w:rPr>
        <w:t>, като те са заложени при изчисленията на финансовите показатели в модела. Във втора колона на</w:t>
      </w:r>
      <w:r w:rsidR="004464CF">
        <w:rPr>
          <w:rFonts w:ascii="Times New Roman" w:hAnsi="Times New Roman" w:cs="Times New Roman"/>
          <w:sz w:val="24"/>
          <w:szCs w:val="24"/>
        </w:rPr>
        <w:t xml:space="preserve"> </w:t>
      </w:r>
      <w:r w:rsidR="00E44C19">
        <w:rPr>
          <w:rFonts w:ascii="Times New Roman" w:hAnsi="Times New Roman" w:cs="Times New Roman"/>
          <w:sz w:val="24"/>
          <w:szCs w:val="24"/>
          <w:lang w:val="en-US"/>
        </w:rPr>
        <w:t>табл. V.</w:t>
      </w:r>
      <w:r w:rsidR="002F633F">
        <w:rPr>
          <w:rFonts w:ascii="Times New Roman" w:hAnsi="Times New Roman" w:cs="Times New Roman"/>
          <w:sz w:val="24"/>
          <w:szCs w:val="24"/>
          <w:lang w:val="en-US"/>
        </w:rPr>
        <w:t>3</w:t>
      </w:r>
      <w:r w:rsidRPr="00950BDF">
        <w:rPr>
          <w:rFonts w:ascii="Times New Roman" w:hAnsi="Times New Roman" w:cs="Times New Roman"/>
          <w:sz w:val="24"/>
          <w:szCs w:val="24"/>
        </w:rPr>
        <w:t xml:space="preserve"> е посочена стойността на усвоените до 2016 г. инвестиционни разходи.</w:t>
      </w:r>
    </w:p>
    <w:p w:rsidR="00C4220F" w:rsidRPr="00950BDF" w:rsidRDefault="00C4220F" w:rsidP="00C4220F">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Допълнителните разходи, които са извън цената „</w:t>
      </w:r>
      <w:r>
        <w:rPr>
          <w:rFonts w:ascii="Times New Roman" w:hAnsi="Times New Roman" w:cs="Times New Roman"/>
          <w:sz w:val="24"/>
          <w:szCs w:val="24"/>
        </w:rPr>
        <w:t>д</w:t>
      </w:r>
      <w:r w:rsidRPr="00950BDF">
        <w:rPr>
          <w:rFonts w:ascii="Times New Roman" w:hAnsi="Times New Roman" w:cs="Times New Roman"/>
          <w:sz w:val="24"/>
          <w:szCs w:val="24"/>
        </w:rPr>
        <w:t xml:space="preserve">о ключ“ (присъединяване на централата, външна физическа охрана на обекта, други допълнения и разходи за инженерна поддръжка), са ескалирани за периода на строителството. </w:t>
      </w:r>
    </w:p>
    <w:p w:rsidR="00C4220F" w:rsidRPr="00950BDF" w:rsidRDefault="00C4220F" w:rsidP="00C4220F">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При така представените данни</w:t>
      </w:r>
      <w:r>
        <w:rPr>
          <w:rFonts w:ascii="Times New Roman" w:hAnsi="Times New Roman" w:cs="Times New Roman"/>
          <w:sz w:val="24"/>
          <w:szCs w:val="24"/>
        </w:rPr>
        <w:t>,</w:t>
      </w:r>
      <w:r w:rsidRPr="00950BDF">
        <w:rPr>
          <w:rFonts w:ascii="Times New Roman" w:hAnsi="Times New Roman" w:cs="Times New Roman"/>
          <w:sz w:val="24"/>
          <w:szCs w:val="24"/>
        </w:rPr>
        <w:t xml:space="preserve"> инвестиционните разходи за един реактор на АЕЦ „Белене“ възлизат на 4</w:t>
      </w:r>
      <w:r>
        <w:rPr>
          <w:rFonts w:ascii="Times New Roman" w:hAnsi="Times New Roman" w:cs="Times New Roman"/>
          <w:sz w:val="24"/>
          <w:szCs w:val="24"/>
        </w:rPr>
        <w:t>.</w:t>
      </w:r>
      <w:r w:rsidRPr="00950BDF">
        <w:rPr>
          <w:rFonts w:ascii="Times New Roman" w:hAnsi="Times New Roman" w:cs="Times New Roman"/>
          <w:sz w:val="24"/>
          <w:szCs w:val="24"/>
        </w:rPr>
        <w:t>3 хил. евро/kW (при проектен капацитет на всеки реактор от 1060 MW). Сравнението с еталонни стойности за капиталови разходи за сходни нови блокове от Поколение III/III+ показва, че планираните стойности за АЕЦ „Белене“ са съизмерими с посочените в</w:t>
      </w:r>
      <w:r>
        <w:rPr>
          <w:rFonts w:ascii="Times New Roman" w:hAnsi="Times New Roman" w:cs="Times New Roman"/>
          <w:sz w:val="24"/>
          <w:szCs w:val="24"/>
        </w:rPr>
        <w:t xml:space="preserve"> табл. </w:t>
      </w:r>
      <w:r w:rsidRPr="00E44C19">
        <w:rPr>
          <w:rFonts w:ascii="Times New Roman" w:hAnsi="Times New Roman" w:cs="Times New Roman"/>
          <w:sz w:val="24"/>
          <w:szCs w:val="24"/>
          <w:lang w:val="en-US"/>
        </w:rPr>
        <w:t>V.</w:t>
      </w:r>
      <w:r>
        <w:rPr>
          <w:rFonts w:ascii="Times New Roman" w:hAnsi="Times New Roman" w:cs="Times New Roman"/>
          <w:sz w:val="24"/>
          <w:szCs w:val="24"/>
          <w:lang w:val="en-US"/>
        </w:rPr>
        <w:t>4</w:t>
      </w:r>
      <w:r w:rsidRPr="00950BDF">
        <w:rPr>
          <w:rFonts w:ascii="Times New Roman" w:hAnsi="Times New Roman" w:cs="Times New Roman"/>
          <w:sz w:val="24"/>
          <w:szCs w:val="24"/>
        </w:rPr>
        <w:t>.</w:t>
      </w:r>
    </w:p>
    <w:p w:rsidR="004464CF" w:rsidRDefault="004464CF" w:rsidP="00E44C19">
      <w:pPr>
        <w:spacing w:before="120" w:after="120" w:line="240" w:lineRule="auto"/>
        <w:jc w:val="both"/>
        <w:rPr>
          <w:rFonts w:ascii="Times New Roman" w:hAnsi="Times New Roman" w:cs="Times New Roman"/>
          <w:sz w:val="24"/>
          <w:szCs w:val="24"/>
        </w:rPr>
      </w:pPr>
    </w:p>
    <w:p w:rsidR="004464CF" w:rsidRDefault="004464CF" w:rsidP="00E44C19">
      <w:pPr>
        <w:spacing w:before="120" w:after="120" w:line="240" w:lineRule="auto"/>
        <w:jc w:val="both"/>
        <w:rPr>
          <w:rFonts w:ascii="Times New Roman" w:hAnsi="Times New Roman" w:cs="Times New Roman"/>
          <w:sz w:val="24"/>
          <w:szCs w:val="24"/>
        </w:rPr>
      </w:pPr>
    </w:p>
    <w:p w:rsidR="004464CF" w:rsidRDefault="004464CF" w:rsidP="00E44C19">
      <w:pPr>
        <w:spacing w:before="120" w:after="120" w:line="240" w:lineRule="auto"/>
        <w:jc w:val="both"/>
        <w:rPr>
          <w:rFonts w:ascii="Times New Roman" w:hAnsi="Times New Roman" w:cs="Times New Roman"/>
          <w:sz w:val="24"/>
          <w:szCs w:val="24"/>
        </w:rPr>
      </w:pPr>
    </w:p>
    <w:p w:rsidR="004464CF" w:rsidRDefault="004464CF" w:rsidP="00E44C19">
      <w:pPr>
        <w:spacing w:before="120" w:after="120" w:line="240" w:lineRule="auto"/>
        <w:jc w:val="both"/>
        <w:rPr>
          <w:rFonts w:ascii="Times New Roman" w:hAnsi="Times New Roman" w:cs="Times New Roman"/>
          <w:sz w:val="24"/>
          <w:szCs w:val="24"/>
        </w:rPr>
      </w:pPr>
    </w:p>
    <w:p w:rsidR="00950BDF" w:rsidRPr="00C4220F" w:rsidRDefault="002F633F" w:rsidP="00C4220F">
      <w:pPr>
        <w:pStyle w:val="Caption"/>
        <w:rPr>
          <w:rFonts w:ascii="Times New Roman" w:hAnsi="Times New Roman"/>
          <w:szCs w:val="24"/>
        </w:rPr>
      </w:pPr>
      <w:bookmarkStart w:id="94" w:name="_Toc491990973"/>
      <w:bookmarkStart w:id="95" w:name="_Toc491994408"/>
      <w:bookmarkStart w:id="96" w:name="_Toc493240899"/>
      <w:r w:rsidRPr="00C4220F">
        <w:rPr>
          <w:rFonts w:ascii="Times New Roman" w:hAnsi="Times New Roman"/>
        </w:rPr>
        <w:lastRenderedPageBreak/>
        <w:t>Таблица V.</w:t>
      </w:r>
      <w:r w:rsidR="0097530B" w:rsidRPr="00C4220F">
        <w:rPr>
          <w:rFonts w:ascii="Times New Roman" w:hAnsi="Times New Roman"/>
        </w:rPr>
        <w:fldChar w:fldCharType="begin"/>
      </w:r>
      <w:r w:rsidR="00042F89" w:rsidRPr="00C4220F">
        <w:rPr>
          <w:rFonts w:ascii="Times New Roman" w:hAnsi="Times New Roman"/>
        </w:rPr>
        <w:instrText xml:space="preserve"> SEQ Таблица_V. \* ARABIC </w:instrText>
      </w:r>
      <w:r w:rsidR="0097530B" w:rsidRPr="00C4220F">
        <w:rPr>
          <w:rFonts w:ascii="Times New Roman" w:hAnsi="Times New Roman"/>
        </w:rPr>
        <w:fldChar w:fldCharType="separate"/>
      </w:r>
      <w:r w:rsidR="00F44EBF">
        <w:rPr>
          <w:rFonts w:ascii="Times New Roman" w:hAnsi="Times New Roman"/>
          <w:noProof/>
        </w:rPr>
        <w:t>3</w:t>
      </w:r>
      <w:r w:rsidR="0097530B" w:rsidRPr="00C4220F">
        <w:rPr>
          <w:rFonts w:ascii="Times New Roman" w:hAnsi="Times New Roman"/>
          <w:noProof/>
        </w:rPr>
        <w:fldChar w:fldCharType="end"/>
      </w:r>
      <w:r w:rsidR="00C4220F" w:rsidRPr="00C4220F">
        <w:rPr>
          <w:rFonts w:ascii="Times New Roman" w:hAnsi="Times New Roman"/>
          <w:noProof/>
        </w:rPr>
        <w:t xml:space="preserve">. </w:t>
      </w:r>
      <w:r w:rsidR="00950BDF" w:rsidRPr="00C4220F">
        <w:rPr>
          <w:rFonts w:ascii="Times New Roman" w:hAnsi="Times New Roman"/>
          <w:szCs w:val="24"/>
        </w:rPr>
        <w:t>Инвестиционни разходи по проекта, млн. евро</w:t>
      </w:r>
      <w:bookmarkEnd w:id="94"/>
      <w:bookmarkEnd w:id="95"/>
      <w:bookmarkEnd w:id="96"/>
    </w:p>
    <w:tbl>
      <w:tblPr>
        <w:tblW w:w="5000" w:type="pct"/>
        <w:jc w:val="center"/>
        <w:tblCellMar>
          <w:left w:w="70" w:type="dxa"/>
          <w:right w:w="70" w:type="dxa"/>
        </w:tblCellMar>
        <w:tblLook w:val="04A0" w:firstRow="1" w:lastRow="0" w:firstColumn="1" w:lastColumn="0" w:noHBand="0" w:noVBand="1"/>
      </w:tblPr>
      <w:tblGrid>
        <w:gridCol w:w="4862"/>
        <w:gridCol w:w="1576"/>
        <w:gridCol w:w="1188"/>
        <w:gridCol w:w="1586"/>
      </w:tblGrid>
      <w:tr w:rsidR="002F633F" w:rsidRPr="002F633F" w:rsidTr="00C4220F">
        <w:trPr>
          <w:trHeight w:val="274"/>
          <w:tblHeader/>
          <w:jc w:val="center"/>
        </w:trPr>
        <w:tc>
          <w:tcPr>
            <w:tcW w:w="1909" w:type="pct"/>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2F633F" w:rsidRPr="00C4220F" w:rsidRDefault="002F633F" w:rsidP="00C4220F">
            <w:pPr>
              <w:spacing w:after="0" w:line="240" w:lineRule="auto"/>
              <w:jc w:val="center"/>
              <w:rPr>
                <w:rFonts w:ascii="Times New Roman" w:eastAsia="Times New Roman" w:hAnsi="Times New Roman" w:cs="Times New Roman"/>
              </w:rPr>
            </w:pPr>
            <w:r w:rsidRPr="00C4220F">
              <w:rPr>
                <w:rFonts w:ascii="Times New Roman" w:eastAsia="Times New Roman" w:hAnsi="Times New Roman" w:cs="Times New Roman"/>
              </w:rPr>
              <w:t>Групи разходи</w:t>
            </w:r>
          </w:p>
        </w:tc>
        <w:tc>
          <w:tcPr>
            <w:tcW w:w="883"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rsidR="002F633F" w:rsidRPr="00C4220F" w:rsidRDefault="002F633F" w:rsidP="00C4220F">
            <w:pPr>
              <w:spacing w:after="0" w:line="240" w:lineRule="auto"/>
              <w:jc w:val="center"/>
              <w:rPr>
                <w:rFonts w:ascii="Times New Roman" w:eastAsia="Times New Roman" w:hAnsi="Times New Roman" w:cs="Times New Roman"/>
              </w:rPr>
            </w:pPr>
            <w:r w:rsidRPr="00C4220F">
              <w:rPr>
                <w:rFonts w:ascii="Times New Roman" w:eastAsia="Times New Roman" w:hAnsi="Times New Roman" w:cs="Times New Roman"/>
              </w:rPr>
              <w:t>Обща стойност</w:t>
            </w:r>
          </w:p>
        </w:tc>
        <w:tc>
          <w:tcPr>
            <w:tcW w:w="1104" w:type="pct"/>
            <w:tcBorders>
              <w:top w:val="single" w:sz="12" w:space="0" w:color="auto"/>
              <w:left w:val="nil"/>
              <w:bottom w:val="single" w:sz="12" w:space="0" w:color="auto"/>
              <w:right w:val="single" w:sz="4" w:space="0" w:color="auto"/>
            </w:tcBorders>
            <w:shd w:val="clear" w:color="auto" w:fill="D9D9D9"/>
          </w:tcPr>
          <w:p w:rsidR="002F633F" w:rsidRPr="00C4220F" w:rsidRDefault="002F633F" w:rsidP="00C4220F">
            <w:pPr>
              <w:spacing w:after="0" w:line="240" w:lineRule="auto"/>
              <w:jc w:val="center"/>
              <w:rPr>
                <w:rFonts w:ascii="Times New Roman" w:eastAsia="Times New Roman" w:hAnsi="Times New Roman" w:cs="Times New Roman"/>
                <w:color w:val="000000"/>
              </w:rPr>
            </w:pPr>
            <w:r w:rsidRPr="00C4220F">
              <w:rPr>
                <w:rFonts w:ascii="Times New Roman" w:eastAsia="Times New Roman" w:hAnsi="Times New Roman" w:cs="Times New Roman"/>
                <w:color w:val="000000"/>
              </w:rPr>
              <w:t xml:space="preserve">Усвояване до 2016 г. </w:t>
            </w:r>
          </w:p>
        </w:tc>
        <w:tc>
          <w:tcPr>
            <w:tcW w:w="1104" w:type="pct"/>
            <w:tcBorders>
              <w:top w:val="single" w:sz="12" w:space="0" w:color="auto"/>
              <w:left w:val="nil"/>
              <w:bottom w:val="single" w:sz="12" w:space="0" w:color="auto"/>
              <w:right w:val="single" w:sz="12" w:space="0" w:color="auto"/>
            </w:tcBorders>
            <w:shd w:val="clear" w:color="auto" w:fill="D9D9D9"/>
          </w:tcPr>
          <w:p w:rsidR="002F633F" w:rsidRPr="00C4220F" w:rsidRDefault="002F633F" w:rsidP="00C4220F">
            <w:pPr>
              <w:spacing w:after="0" w:line="240" w:lineRule="auto"/>
              <w:jc w:val="center"/>
              <w:rPr>
                <w:rFonts w:ascii="Times New Roman" w:eastAsia="Times New Roman" w:hAnsi="Times New Roman" w:cs="Times New Roman"/>
                <w:color w:val="000000"/>
              </w:rPr>
            </w:pPr>
            <w:r w:rsidRPr="00C4220F">
              <w:rPr>
                <w:rFonts w:ascii="Times New Roman" w:eastAsia="Times New Roman" w:hAnsi="Times New Roman" w:cs="Times New Roman"/>
                <w:color w:val="000000"/>
              </w:rPr>
              <w:t>Ескалирана стойност</w:t>
            </w:r>
          </w:p>
        </w:tc>
      </w:tr>
      <w:tr w:rsidR="002F633F" w:rsidRPr="002F633F" w:rsidTr="00C4220F">
        <w:trPr>
          <w:trHeight w:val="255"/>
          <w:jc w:val="center"/>
        </w:trPr>
        <w:tc>
          <w:tcPr>
            <w:tcW w:w="1909"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rPr>
                <w:rFonts w:ascii="Times New Roman" w:eastAsia="Times New Roman" w:hAnsi="Times New Roman" w:cs="Times New Roman"/>
                <w:b/>
                <w:bCs/>
                <w:color w:val="000000"/>
              </w:rPr>
            </w:pPr>
            <w:r w:rsidRPr="002F633F">
              <w:rPr>
                <w:rFonts w:ascii="Times New Roman" w:eastAsia="Times New Roman" w:hAnsi="Times New Roman" w:cs="Times New Roman"/>
                <w:b/>
                <w:bCs/>
                <w:color w:val="000000"/>
              </w:rPr>
              <w:t>Работен проект</w:t>
            </w:r>
          </w:p>
        </w:tc>
        <w:tc>
          <w:tcPr>
            <w:tcW w:w="883" w:type="pct"/>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272</w:t>
            </w:r>
            <w:r w:rsidR="004464CF">
              <w:rPr>
                <w:rFonts w:ascii="Times New Roman" w:hAnsi="Times New Roman" w:cs="Times New Roman"/>
                <w:color w:val="000000"/>
              </w:rPr>
              <w:t>.</w:t>
            </w:r>
            <w:r w:rsidRPr="00DB1A1E">
              <w:rPr>
                <w:rFonts w:ascii="Times New Roman" w:hAnsi="Times New Roman" w:cs="Times New Roman"/>
                <w:color w:val="000000"/>
              </w:rPr>
              <w:t>8</w:t>
            </w:r>
          </w:p>
        </w:tc>
        <w:tc>
          <w:tcPr>
            <w:tcW w:w="1104" w:type="pct"/>
            <w:tcBorders>
              <w:top w:val="single" w:sz="12"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color w:val="000000"/>
              </w:rPr>
              <w:t>27</w:t>
            </w:r>
            <w:r w:rsidR="004464CF">
              <w:rPr>
                <w:rFonts w:ascii="Times New Roman" w:hAnsi="Times New Roman" w:cs="Times New Roman"/>
                <w:color w:val="000000"/>
              </w:rPr>
              <w:t>.</w:t>
            </w:r>
            <w:r w:rsidRPr="002F633F">
              <w:rPr>
                <w:rFonts w:ascii="Times New Roman" w:hAnsi="Times New Roman" w:cs="Times New Roman"/>
                <w:color w:val="000000"/>
              </w:rPr>
              <w:t>3</w:t>
            </w:r>
          </w:p>
        </w:tc>
        <w:tc>
          <w:tcPr>
            <w:tcW w:w="1104" w:type="pct"/>
            <w:tcBorders>
              <w:top w:val="single" w:sz="12"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bCs/>
                <w:color w:val="000000"/>
              </w:rPr>
              <w:t>281</w:t>
            </w:r>
            <w:r w:rsidR="004464CF">
              <w:rPr>
                <w:rFonts w:ascii="Times New Roman" w:hAnsi="Times New Roman" w:cs="Times New Roman"/>
                <w:bCs/>
                <w:color w:val="000000"/>
              </w:rPr>
              <w:t>.</w:t>
            </w:r>
            <w:r w:rsidRPr="002F633F">
              <w:rPr>
                <w:rFonts w:ascii="Times New Roman" w:hAnsi="Times New Roman" w:cs="Times New Roman"/>
                <w:bCs/>
                <w:color w:val="000000"/>
              </w:rPr>
              <w:t>18</w:t>
            </w:r>
          </w:p>
        </w:tc>
      </w:tr>
      <w:tr w:rsidR="002F633F" w:rsidRPr="002F633F" w:rsidTr="00C4220F">
        <w:trPr>
          <w:trHeight w:val="255"/>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rPr>
                <w:rFonts w:ascii="Times New Roman" w:eastAsia="Times New Roman" w:hAnsi="Times New Roman" w:cs="Times New Roman"/>
                <w:b/>
                <w:bCs/>
                <w:color w:val="000000"/>
              </w:rPr>
            </w:pPr>
            <w:r w:rsidRPr="002F633F">
              <w:rPr>
                <w:rFonts w:ascii="Times New Roman" w:eastAsia="Times New Roman" w:hAnsi="Times New Roman" w:cs="Times New Roman"/>
                <w:b/>
                <w:bCs/>
                <w:color w:val="000000"/>
              </w:rPr>
              <w:t>Строителни работи</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987</w:t>
            </w:r>
            <w:r w:rsidR="004464CF">
              <w:rPr>
                <w:rFonts w:ascii="Times New Roman" w:hAnsi="Times New Roman" w:cs="Times New Roman"/>
                <w:color w:val="000000"/>
              </w:rPr>
              <w:t>.</w:t>
            </w:r>
            <w:r w:rsidRPr="00DB1A1E">
              <w:rPr>
                <w:rFonts w:ascii="Times New Roman" w:hAnsi="Times New Roman" w:cs="Times New Roman"/>
                <w:color w:val="000000"/>
              </w:rPr>
              <w:t>8</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color w:val="000000"/>
              </w:rPr>
              <w:t>19</w:t>
            </w:r>
            <w:r w:rsidR="004464CF">
              <w:rPr>
                <w:rFonts w:ascii="Times New Roman" w:hAnsi="Times New Roman" w:cs="Times New Roman"/>
                <w:color w:val="000000"/>
              </w:rPr>
              <w:t>.</w:t>
            </w:r>
            <w:r w:rsidRPr="002F633F">
              <w:rPr>
                <w:rFonts w:ascii="Times New Roman" w:hAnsi="Times New Roman" w:cs="Times New Roman"/>
                <w:color w:val="000000"/>
              </w:rPr>
              <w:t>8</w:t>
            </w: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bCs/>
                <w:color w:val="000000"/>
              </w:rPr>
              <w:t>1100</w:t>
            </w:r>
            <w:r w:rsidR="004464CF">
              <w:rPr>
                <w:rFonts w:ascii="Times New Roman" w:hAnsi="Times New Roman" w:cs="Times New Roman"/>
                <w:bCs/>
                <w:color w:val="000000"/>
              </w:rPr>
              <w:t>.</w:t>
            </w:r>
            <w:r w:rsidRPr="002F633F">
              <w:rPr>
                <w:rFonts w:ascii="Times New Roman" w:hAnsi="Times New Roman" w:cs="Times New Roman"/>
                <w:bCs/>
                <w:color w:val="000000"/>
              </w:rPr>
              <w:t>09</w:t>
            </w:r>
          </w:p>
        </w:tc>
      </w:tr>
      <w:tr w:rsidR="002F633F" w:rsidRPr="002F633F" w:rsidTr="00C4220F">
        <w:trPr>
          <w:trHeight w:val="255"/>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rPr>
                <w:rFonts w:ascii="Times New Roman" w:eastAsia="Times New Roman" w:hAnsi="Times New Roman" w:cs="Times New Roman"/>
                <w:b/>
                <w:bCs/>
                <w:color w:val="000000"/>
              </w:rPr>
            </w:pPr>
            <w:r w:rsidRPr="002F633F">
              <w:rPr>
                <w:rFonts w:ascii="Times New Roman" w:eastAsia="Times New Roman" w:hAnsi="Times New Roman" w:cs="Times New Roman"/>
                <w:b/>
                <w:bCs/>
                <w:color w:val="000000"/>
              </w:rPr>
              <w:t>Оборудване и материали, в т.ч.</w:t>
            </w:r>
            <w:r w:rsidR="00F34DB4">
              <w:rPr>
                <w:rFonts w:ascii="Times New Roman" w:eastAsia="Times New Roman" w:hAnsi="Times New Roman" w:cs="Times New Roman"/>
                <w:b/>
                <w:bCs/>
                <w:color w:val="000000"/>
              </w:rPr>
              <w:t>:</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4357</w:t>
            </w:r>
            <w:r w:rsidR="004464CF">
              <w:rPr>
                <w:rFonts w:ascii="Times New Roman" w:hAnsi="Times New Roman" w:cs="Times New Roman"/>
                <w:color w:val="000000"/>
              </w:rPr>
              <w:t>.</w:t>
            </w:r>
            <w:r w:rsidRPr="00DB1A1E">
              <w:rPr>
                <w:rFonts w:ascii="Times New Roman" w:hAnsi="Times New Roman" w:cs="Times New Roman"/>
                <w:color w:val="000000"/>
              </w:rPr>
              <w:t>1</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color w:val="000000"/>
              </w:rPr>
              <w:t>5109</w:t>
            </w:r>
            <w:r w:rsidR="004464CF">
              <w:rPr>
                <w:rFonts w:ascii="Times New Roman" w:hAnsi="Times New Roman" w:cs="Times New Roman"/>
                <w:color w:val="000000"/>
              </w:rPr>
              <w:t>.</w:t>
            </w:r>
            <w:r w:rsidRPr="002F633F">
              <w:rPr>
                <w:rFonts w:ascii="Times New Roman" w:hAnsi="Times New Roman" w:cs="Times New Roman"/>
                <w:color w:val="000000"/>
              </w:rPr>
              <w:t>70</w:t>
            </w:r>
          </w:p>
        </w:tc>
      </w:tr>
      <w:tr w:rsidR="002F633F" w:rsidRPr="002F633F" w:rsidTr="00C4220F">
        <w:trPr>
          <w:trHeight w:val="315"/>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ind w:left="346"/>
              <w:rPr>
                <w:rFonts w:ascii="Times New Roman" w:eastAsia="Times New Roman" w:hAnsi="Times New Roman" w:cs="Times New Roman"/>
                <w:color w:val="000000"/>
              </w:rPr>
            </w:pPr>
            <w:r w:rsidRPr="002F633F">
              <w:rPr>
                <w:rFonts w:ascii="Times New Roman" w:eastAsia="Times New Roman" w:hAnsi="Times New Roman" w:cs="Times New Roman"/>
                <w:color w:val="000000"/>
              </w:rPr>
              <w:t xml:space="preserve">Русия, трети страни </w:t>
            </w:r>
            <w:r w:rsidRPr="002F633F">
              <w:rPr>
                <w:rFonts w:ascii="Times New Roman" w:eastAsia="Times New Roman" w:hAnsi="Times New Roman" w:cs="Times New Roman"/>
                <w:color w:val="000000"/>
                <w:vertAlign w:val="superscript"/>
              </w:rPr>
              <w:t>4)</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2422</w:t>
            </w:r>
            <w:r w:rsidR="004464CF">
              <w:rPr>
                <w:rFonts w:ascii="Times New Roman" w:hAnsi="Times New Roman" w:cs="Times New Roman"/>
                <w:color w:val="000000"/>
              </w:rPr>
              <w:t>.</w:t>
            </w:r>
            <w:r w:rsidRPr="00DB1A1E">
              <w:rPr>
                <w:rFonts w:ascii="Times New Roman" w:hAnsi="Times New Roman" w:cs="Times New Roman"/>
                <w:color w:val="000000"/>
              </w:rPr>
              <w:t>7</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color w:val="000000"/>
              </w:rPr>
              <w:t>654</w:t>
            </w:r>
            <w:r w:rsidR="004464CF">
              <w:rPr>
                <w:rFonts w:ascii="Times New Roman" w:hAnsi="Times New Roman" w:cs="Times New Roman"/>
                <w:color w:val="000000"/>
              </w:rPr>
              <w:t>.</w:t>
            </w:r>
            <w:r w:rsidRPr="002F633F">
              <w:rPr>
                <w:rFonts w:ascii="Times New Roman" w:hAnsi="Times New Roman" w:cs="Times New Roman"/>
                <w:color w:val="000000"/>
              </w:rPr>
              <w:t>1</w:t>
            </w: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bCs/>
                <w:color w:val="000000"/>
              </w:rPr>
              <w:t>2939</w:t>
            </w:r>
            <w:r w:rsidR="004464CF">
              <w:rPr>
                <w:rFonts w:ascii="Times New Roman" w:hAnsi="Times New Roman" w:cs="Times New Roman"/>
                <w:bCs/>
                <w:color w:val="000000"/>
              </w:rPr>
              <w:t>.</w:t>
            </w:r>
            <w:r w:rsidRPr="002F633F">
              <w:rPr>
                <w:rFonts w:ascii="Times New Roman" w:hAnsi="Times New Roman" w:cs="Times New Roman"/>
                <w:bCs/>
                <w:color w:val="000000"/>
              </w:rPr>
              <w:t>19</w:t>
            </w:r>
          </w:p>
        </w:tc>
      </w:tr>
      <w:tr w:rsidR="002F633F" w:rsidRPr="002F633F" w:rsidTr="00C4220F">
        <w:trPr>
          <w:trHeight w:val="315"/>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ind w:left="346"/>
              <w:rPr>
                <w:rFonts w:ascii="Times New Roman" w:eastAsia="Times New Roman" w:hAnsi="Times New Roman" w:cs="Times New Roman"/>
                <w:color w:val="000000"/>
              </w:rPr>
            </w:pPr>
            <w:r w:rsidRPr="002F633F">
              <w:rPr>
                <w:rFonts w:ascii="Times New Roman" w:eastAsia="Times New Roman" w:hAnsi="Times New Roman" w:cs="Times New Roman"/>
                <w:color w:val="000000"/>
              </w:rPr>
              <w:t xml:space="preserve">Доставки от ЕС </w:t>
            </w:r>
            <w:r w:rsidRPr="002F633F">
              <w:rPr>
                <w:rFonts w:ascii="Times New Roman" w:eastAsia="Times New Roman" w:hAnsi="Times New Roman" w:cs="Times New Roman"/>
                <w:color w:val="000000"/>
                <w:vertAlign w:val="superscript"/>
              </w:rPr>
              <w:t>5)</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1934</w:t>
            </w:r>
            <w:r w:rsidR="004464CF">
              <w:rPr>
                <w:rFonts w:ascii="Times New Roman" w:hAnsi="Times New Roman" w:cs="Times New Roman"/>
                <w:color w:val="000000"/>
              </w:rPr>
              <w:t>.</w:t>
            </w:r>
            <w:r w:rsidRPr="00DB1A1E">
              <w:rPr>
                <w:rFonts w:ascii="Times New Roman" w:hAnsi="Times New Roman" w:cs="Times New Roman"/>
                <w:color w:val="000000"/>
              </w:rPr>
              <w:t>4</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bCs/>
                <w:color w:val="000000"/>
              </w:rPr>
              <w:t>2170</w:t>
            </w:r>
            <w:r w:rsidR="004464CF">
              <w:rPr>
                <w:rFonts w:ascii="Times New Roman" w:hAnsi="Times New Roman" w:cs="Times New Roman"/>
                <w:bCs/>
                <w:color w:val="000000"/>
              </w:rPr>
              <w:t>.</w:t>
            </w:r>
            <w:r w:rsidRPr="002F633F">
              <w:rPr>
                <w:rFonts w:ascii="Times New Roman" w:hAnsi="Times New Roman" w:cs="Times New Roman"/>
                <w:bCs/>
                <w:color w:val="000000"/>
              </w:rPr>
              <w:t>51</w:t>
            </w:r>
          </w:p>
        </w:tc>
      </w:tr>
      <w:tr w:rsidR="002F633F" w:rsidRPr="002F633F" w:rsidTr="00C4220F">
        <w:trPr>
          <w:trHeight w:val="255"/>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rPr>
                <w:rFonts w:ascii="Times New Roman" w:eastAsia="Times New Roman" w:hAnsi="Times New Roman" w:cs="Times New Roman"/>
                <w:b/>
                <w:bCs/>
                <w:color w:val="000000"/>
              </w:rPr>
            </w:pPr>
            <w:r w:rsidRPr="002F633F">
              <w:rPr>
                <w:rFonts w:ascii="Times New Roman" w:eastAsia="Times New Roman" w:hAnsi="Times New Roman" w:cs="Times New Roman"/>
                <w:b/>
                <w:bCs/>
                <w:color w:val="000000"/>
              </w:rPr>
              <w:t>Монтажни работи</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485</w:t>
            </w:r>
            <w:r w:rsidR="004464CF">
              <w:rPr>
                <w:rFonts w:ascii="Times New Roman" w:hAnsi="Times New Roman" w:cs="Times New Roman"/>
                <w:color w:val="000000"/>
              </w:rPr>
              <w:t>.</w:t>
            </w:r>
            <w:r w:rsidRPr="00DB1A1E">
              <w:rPr>
                <w:rFonts w:ascii="Times New Roman" w:hAnsi="Times New Roman" w:cs="Times New Roman"/>
                <w:color w:val="000000"/>
              </w:rPr>
              <w:t>8</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bCs/>
                <w:color w:val="000000"/>
              </w:rPr>
              <w:t>552</w:t>
            </w:r>
            <w:r w:rsidR="004464CF">
              <w:rPr>
                <w:rFonts w:ascii="Times New Roman" w:hAnsi="Times New Roman" w:cs="Times New Roman"/>
                <w:bCs/>
                <w:color w:val="000000"/>
              </w:rPr>
              <w:t>.</w:t>
            </w:r>
            <w:r w:rsidRPr="002F633F">
              <w:rPr>
                <w:rFonts w:ascii="Times New Roman" w:hAnsi="Times New Roman" w:cs="Times New Roman"/>
                <w:bCs/>
                <w:color w:val="000000"/>
              </w:rPr>
              <w:t>72</w:t>
            </w:r>
          </w:p>
        </w:tc>
      </w:tr>
      <w:tr w:rsidR="002F633F" w:rsidRPr="002F633F" w:rsidTr="00C4220F">
        <w:trPr>
          <w:trHeight w:val="255"/>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rPr>
                <w:rFonts w:ascii="Times New Roman" w:eastAsia="Times New Roman" w:hAnsi="Times New Roman" w:cs="Times New Roman"/>
                <w:b/>
                <w:bCs/>
                <w:color w:val="000000"/>
              </w:rPr>
            </w:pPr>
            <w:r w:rsidRPr="002F633F">
              <w:rPr>
                <w:rFonts w:ascii="Times New Roman" w:eastAsia="Times New Roman" w:hAnsi="Times New Roman" w:cs="Times New Roman"/>
                <w:b/>
                <w:bCs/>
                <w:color w:val="000000"/>
              </w:rPr>
              <w:t>Пусково-наладъчни работи</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153</w:t>
            </w:r>
            <w:r w:rsidR="004464CF">
              <w:rPr>
                <w:rFonts w:ascii="Times New Roman" w:hAnsi="Times New Roman" w:cs="Times New Roman"/>
                <w:color w:val="000000"/>
              </w:rPr>
              <w:t>.</w:t>
            </w:r>
            <w:r w:rsidRPr="00DB1A1E">
              <w:rPr>
                <w:rFonts w:ascii="Times New Roman" w:hAnsi="Times New Roman" w:cs="Times New Roman"/>
                <w:color w:val="000000"/>
              </w:rPr>
              <w:t>3</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bCs/>
                <w:color w:val="000000"/>
              </w:rPr>
              <w:t>179</w:t>
            </w:r>
            <w:r w:rsidR="004464CF">
              <w:rPr>
                <w:rFonts w:ascii="Times New Roman" w:hAnsi="Times New Roman" w:cs="Times New Roman"/>
                <w:bCs/>
                <w:color w:val="000000"/>
              </w:rPr>
              <w:t>.</w:t>
            </w:r>
            <w:r w:rsidRPr="002F633F">
              <w:rPr>
                <w:rFonts w:ascii="Times New Roman" w:hAnsi="Times New Roman" w:cs="Times New Roman"/>
                <w:bCs/>
                <w:color w:val="000000"/>
              </w:rPr>
              <w:t>89</w:t>
            </w:r>
          </w:p>
        </w:tc>
      </w:tr>
      <w:tr w:rsidR="002F633F" w:rsidRPr="002F633F" w:rsidTr="00C4220F">
        <w:trPr>
          <w:trHeight w:val="255"/>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rPr>
                <w:rFonts w:ascii="Times New Roman" w:eastAsia="Times New Roman" w:hAnsi="Times New Roman" w:cs="Times New Roman"/>
                <w:b/>
                <w:bCs/>
                <w:color w:val="000000"/>
              </w:rPr>
            </w:pPr>
            <w:r w:rsidRPr="002F633F">
              <w:rPr>
                <w:rFonts w:ascii="Times New Roman" w:eastAsia="Times New Roman" w:hAnsi="Times New Roman" w:cs="Times New Roman"/>
                <w:b/>
                <w:bCs/>
                <w:color w:val="000000"/>
              </w:rPr>
              <w:t>Обучение на персонала</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23</w:t>
            </w:r>
            <w:r w:rsidR="004464CF">
              <w:rPr>
                <w:rFonts w:ascii="Times New Roman" w:hAnsi="Times New Roman" w:cs="Times New Roman"/>
                <w:color w:val="000000"/>
              </w:rPr>
              <w:t>.</w:t>
            </w:r>
            <w:r w:rsidRPr="00DB1A1E">
              <w:rPr>
                <w:rFonts w:ascii="Times New Roman" w:hAnsi="Times New Roman" w:cs="Times New Roman"/>
                <w:color w:val="000000"/>
              </w:rPr>
              <w:t>3</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bCs/>
                <w:color w:val="000000"/>
              </w:rPr>
              <w:t>27</w:t>
            </w:r>
            <w:r w:rsidR="004464CF">
              <w:rPr>
                <w:rFonts w:ascii="Times New Roman" w:hAnsi="Times New Roman" w:cs="Times New Roman"/>
                <w:bCs/>
                <w:color w:val="000000"/>
              </w:rPr>
              <w:t>.</w:t>
            </w:r>
            <w:r w:rsidRPr="002F633F">
              <w:rPr>
                <w:rFonts w:ascii="Times New Roman" w:hAnsi="Times New Roman" w:cs="Times New Roman"/>
                <w:bCs/>
                <w:color w:val="000000"/>
              </w:rPr>
              <w:t>38</w:t>
            </w:r>
          </w:p>
        </w:tc>
      </w:tr>
      <w:tr w:rsidR="002F633F" w:rsidRPr="002F633F" w:rsidTr="00C4220F">
        <w:trPr>
          <w:trHeight w:val="92"/>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rPr>
                <w:rFonts w:ascii="Times New Roman" w:eastAsia="Times New Roman" w:hAnsi="Times New Roman" w:cs="Times New Roman"/>
                <w:b/>
                <w:bCs/>
                <w:color w:val="000000"/>
                <w:sz w:val="6"/>
              </w:rPr>
            </w:pPr>
            <w:r w:rsidRPr="002F633F">
              <w:rPr>
                <w:rFonts w:ascii="Times New Roman" w:eastAsia="Times New Roman" w:hAnsi="Times New Roman" w:cs="Times New Roman"/>
                <w:b/>
                <w:bCs/>
                <w:color w:val="000000"/>
                <w:sz w:val="6"/>
              </w:rPr>
              <w:t> </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sz w:val="6"/>
              </w:rPr>
            </w:pP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sz w:val="6"/>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sz w:val="6"/>
              </w:rPr>
            </w:pPr>
          </w:p>
        </w:tc>
      </w:tr>
      <w:tr w:rsidR="002F633F" w:rsidRPr="002F633F" w:rsidTr="00C4220F">
        <w:trPr>
          <w:trHeight w:val="255"/>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rPr>
                <w:rFonts w:ascii="Times New Roman" w:eastAsia="Times New Roman" w:hAnsi="Times New Roman" w:cs="Times New Roman"/>
                <w:b/>
                <w:bCs/>
                <w:color w:val="000000"/>
              </w:rPr>
            </w:pPr>
            <w:r w:rsidRPr="002F633F">
              <w:rPr>
                <w:rFonts w:ascii="Times New Roman" w:eastAsia="Times New Roman" w:hAnsi="Times New Roman" w:cs="Times New Roman"/>
                <w:b/>
                <w:bCs/>
                <w:color w:val="000000"/>
              </w:rPr>
              <w:t>Други разходи, включително:</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607</w:t>
            </w:r>
            <w:r w:rsidR="004464CF">
              <w:rPr>
                <w:rFonts w:ascii="Times New Roman" w:hAnsi="Times New Roman" w:cs="Times New Roman"/>
                <w:color w:val="000000"/>
              </w:rPr>
              <w:t>.</w:t>
            </w:r>
            <w:r w:rsidRPr="00DB1A1E">
              <w:rPr>
                <w:rFonts w:ascii="Times New Roman" w:hAnsi="Times New Roman" w:cs="Times New Roman"/>
                <w:color w:val="000000"/>
              </w:rPr>
              <w:t>7</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color w:val="000000"/>
              </w:rPr>
              <w:t>693</w:t>
            </w:r>
            <w:r w:rsidR="004464CF">
              <w:rPr>
                <w:rFonts w:ascii="Times New Roman" w:hAnsi="Times New Roman" w:cs="Times New Roman"/>
                <w:color w:val="000000"/>
              </w:rPr>
              <w:t>.</w:t>
            </w:r>
            <w:r w:rsidRPr="002F633F">
              <w:rPr>
                <w:rFonts w:ascii="Times New Roman" w:hAnsi="Times New Roman" w:cs="Times New Roman"/>
                <w:color w:val="000000"/>
              </w:rPr>
              <w:t>79</w:t>
            </w:r>
          </w:p>
        </w:tc>
      </w:tr>
      <w:tr w:rsidR="002F633F" w:rsidRPr="002F633F" w:rsidTr="00C4220F">
        <w:trPr>
          <w:trHeight w:val="255"/>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ind w:left="346"/>
              <w:rPr>
                <w:rFonts w:ascii="Times New Roman" w:eastAsia="Times New Roman" w:hAnsi="Times New Roman" w:cs="Times New Roman"/>
                <w:color w:val="000000"/>
              </w:rPr>
            </w:pPr>
            <w:r w:rsidRPr="002F633F">
              <w:rPr>
                <w:rFonts w:ascii="Times New Roman" w:eastAsia="Times New Roman" w:hAnsi="Times New Roman" w:cs="Times New Roman"/>
                <w:color w:val="000000"/>
              </w:rPr>
              <w:t>Транспорт и застраховка</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80</w:t>
            </w:r>
            <w:r w:rsidR="004464CF">
              <w:rPr>
                <w:rFonts w:ascii="Times New Roman" w:hAnsi="Times New Roman" w:cs="Times New Roman"/>
                <w:color w:val="000000"/>
              </w:rPr>
              <w:t>.</w:t>
            </w:r>
            <w:r w:rsidRPr="00DB1A1E">
              <w:rPr>
                <w:rFonts w:ascii="Times New Roman" w:hAnsi="Times New Roman" w:cs="Times New Roman"/>
                <w:color w:val="000000"/>
              </w:rPr>
              <w:t>7</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color w:val="000000"/>
              </w:rPr>
              <w:t>8</w:t>
            </w:r>
            <w:r w:rsidR="004464CF">
              <w:rPr>
                <w:rFonts w:ascii="Times New Roman" w:hAnsi="Times New Roman" w:cs="Times New Roman"/>
                <w:color w:val="000000"/>
              </w:rPr>
              <w:t>.</w:t>
            </w:r>
            <w:r w:rsidRPr="002F633F">
              <w:rPr>
                <w:rFonts w:ascii="Times New Roman" w:hAnsi="Times New Roman" w:cs="Times New Roman"/>
                <w:color w:val="000000"/>
              </w:rPr>
              <w:t>1</w:t>
            </w: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bCs/>
                <w:color w:val="000000"/>
              </w:rPr>
              <w:t>89</w:t>
            </w:r>
            <w:r w:rsidR="004464CF">
              <w:rPr>
                <w:rFonts w:ascii="Times New Roman" w:hAnsi="Times New Roman" w:cs="Times New Roman"/>
                <w:bCs/>
                <w:color w:val="000000"/>
              </w:rPr>
              <w:t>.</w:t>
            </w:r>
            <w:r w:rsidRPr="002F633F">
              <w:rPr>
                <w:rFonts w:ascii="Times New Roman" w:hAnsi="Times New Roman" w:cs="Times New Roman"/>
                <w:bCs/>
                <w:color w:val="000000"/>
              </w:rPr>
              <w:t>94</w:t>
            </w:r>
          </w:p>
        </w:tc>
      </w:tr>
      <w:tr w:rsidR="002F633F" w:rsidRPr="002F633F" w:rsidTr="00C4220F">
        <w:trPr>
          <w:trHeight w:val="255"/>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ind w:left="346"/>
              <w:rPr>
                <w:rFonts w:ascii="Times New Roman" w:eastAsia="Times New Roman" w:hAnsi="Times New Roman" w:cs="Times New Roman"/>
                <w:color w:val="000000"/>
              </w:rPr>
            </w:pPr>
            <w:r w:rsidRPr="002F633F">
              <w:rPr>
                <w:rFonts w:ascii="Times New Roman" w:eastAsia="Times New Roman" w:hAnsi="Times New Roman" w:cs="Times New Roman"/>
                <w:color w:val="000000"/>
              </w:rPr>
              <w:t>Застраховка</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84</w:t>
            </w:r>
            <w:r w:rsidR="004464CF">
              <w:rPr>
                <w:rFonts w:ascii="Times New Roman" w:hAnsi="Times New Roman" w:cs="Times New Roman"/>
                <w:color w:val="000000"/>
              </w:rPr>
              <w:t>.</w:t>
            </w:r>
            <w:r w:rsidRPr="00DB1A1E">
              <w:rPr>
                <w:rFonts w:ascii="Times New Roman" w:hAnsi="Times New Roman" w:cs="Times New Roman"/>
                <w:color w:val="000000"/>
              </w:rPr>
              <w:t>3</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bCs/>
                <w:color w:val="000000"/>
              </w:rPr>
              <w:t>95</w:t>
            </w:r>
            <w:r w:rsidR="004464CF">
              <w:rPr>
                <w:rFonts w:ascii="Times New Roman" w:hAnsi="Times New Roman" w:cs="Times New Roman"/>
                <w:bCs/>
                <w:color w:val="000000"/>
              </w:rPr>
              <w:t>.</w:t>
            </w:r>
            <w:r w:rsidRPr="002F633F">
              <w:rPr>
                <w:rFonts w:ascii="Times New Roman" w:hAnsi="Times New Roman" w:cs="Times New Roman"/>
                <w:bCs/>
                <w:color w:val="000000"/>
              </w:rPr>
              <w:t>06</w:t>
            </w:r>
          </w:p>
        </w:tc>
      </w:tr>
      <w:tr w:rsidR="002F633F" w:rsidRPr="002F633F" w:rsidTr="00C4220F">
        <w:trPr>
          <w:trHeight w:val="255"/>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ind w:left="346"/>
              <w:rPr>
                <w:rFonts w:ascii="Times New Roman" w:eastAsia="Times New Roman" w:hAnsi="Times New Roman" w:cs="Times New Roman"/>
                <w:color w:val="000000"/>
              </w:rPr>
            </w:pPr>
            <w:r w:rsidRPr="002F633F">
              <w:rPr>
                <w:rFonts w:ascii="Times New Roman" w:eastAsia="Times New Roman" w:hAnsi="Times New Roman" w:cs="Times New Roman"/>
                <w:color w:val="000000"/>
              </w:rPr>
              <w:t>Гаранционни разходи</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106</w:t>
            </w:r>
            <w:r w:rsidR="004464CF">
              <w:rPr>
                <w:rFonts w:ascii="Times New Roman" w:hAnsi="Times New Roman" w:cs="Times New Roman"/>
                <w:color w:val="000000"/>
              </w:rPr>
              <w:t>.</w:t>
            </w:r>
            <w:r w:rsidRPr="00DB1A1E">
              <w:rPr>
                <w:rFonts w:ascii="Times New Roman" w:hAnsi="Times New Roman" w:cs="Times New Roman"/>
                <w:color w:val="000000"/>
              </w:rPr>
              <w:t>8</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bCs/>
                <w:color w:val="000000"/>
              </w:rPr>
              <w:t>120</w:t>
            </w:r>
            <w:r w:rsidR="004464CF">
              <w:rPr>
                <w:rFonts w:ascii="Times New Roman" w:hAnsi="Times New Roman" w:cs="Times New Roman"/>
                <w:bCs/>
                <w:color w:val="000000"/>
              </w:rPr>
              <w:t>.</w:t>
            </w:r>
            <w:r w:rsidRPr="002F633F">
              <w:rPr>
                <w:rFonts w:ascii="Times New Roman" w:hAnsi="Times New Roman" w:cs="Times New Roman"/>
                <w:bCs/>
                <w:color w:val="000000"/>
              </w:rPr>
              <w:t>05</w:t>
            </w:r>
          </w:p>
        </w:tc>
      </w:tr>
      <w:tr w:rsidR="002F633F" w:rsidRPr="002F633F" w:rsidTr="00C4220F">
        <w:trPr>
          <w:trHeight w:val="255"/>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ind w:left="346"/>
              <w:rPr>
                <w:rFonts w:ascii="Times New Roman" w:eastAsia="Times New Roman" w:hAnsi="Times New Roman" w:cs="Times New Roman"/>
                <w:color w:val="000000"/>
              </w:rPr>
            </w:pPr>
            <w:r w:rsidRPr="002F633F">
              <w:rPr>
                <w:rFonts w:ascii="Times New Roman" w:eastAsia="Times New Roman" w:hAnsi="Times New Roman" w:cs="Times New Roman"/>
                <w:color w:val="000000"/>
              </w:rPr>
              <w:t>Контрол на качеството</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63</w:t>
            </w:r>
            <w:r w:rsidR="004464CF">
              <w:rPr>
                <w:rFonts w:ascii="Times New Roman" w:hAnsi="Times New Roman" w:cs="Times New Roman"/>
                <w:color w:val="000000"/>
              </w:rPr>
              <w:t>.</w:t>
            </w:r>
            <w:r w:rsidRPr="00DB1A1E">
              <w:rPr>
                <w:rFonts w:ascii="Times New Roman" w:hAnsi="Times New Roman" w:cs="Times New Roman"/>
                <w:color w:val="000000"/>
              </w:rPr>
              <w:t>1</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bCs/>
                <w:color w:val="000000"/>
              </w:rPr>
              <w:t>70</w:t>
            </w:r>
            <w:r w:rsidR="004464CF">
              <w:rPr>
                <w:rFonts w:ascii="Times New Roman" w:hAnsi="Times New Roman" w:cs="Times New Roman"/>
                <w:bCs/>
                <w:color w:val="000000"/>
              </w:rPr>
              <w:t>.</w:t>
            </w:r>
            <w:r w:rsidRPr="002F633F">
              <w:rPr>
                <w:rFonts w:ascii="Times New Roman" w:hAnsi="Times New Roman" w:cs="Times New Roman"/>
                <w:bCs/>
                <w:color w:val="000000"/>
              </w:rPr>
              <w:t>95</w:t>
            </w:r>
          </w:p>
        </w:tc>
      </w:tr>
      <w:tr w:rsidR="002F633F" w:rsidRPr="002F633F" w:rsidTr="00C4220F">
        <w:trPr>
          <w:trHeight w:val="255"/>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ind w:left="346"/>
              <w:rPr>
                <w:rFonts w:ascii="Times New Roman" w:eastAsia="Times New Roman" w:hAnsi="Times New Roman" w:cs="Times New Roman"/>
                <w:color w:val="000000"/>
              </w:rPr>
            </w:pPr>
            <w:r w:rsidRPr="002F633F">
              <w:rPr>
                <w:rFonts w:ascii="Times New Roman" w:eastAsia="Times New Roman" w:hAnsi="Times New Roman" w:cs="Times New Roman"/>
                <w:color w:val="000000"/>
              </w:rPr>
              <w:t>Управление в Русия</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71</w:t>
            </w:r>
            <w:r w:rsidR="004464CF">
              <w:rPr>
                <w:rFonts w:ascii="Times New Roman" w:hAnsi="Times New Roman" w:cs="Times New Roman"/>
                <w:color w:val="000000"/>
              </w:rPr>
              <w:t>.</w:t>
            </w:r>
            <w:r w:rsidRPr="00DB1A1E">
              <w:rPr>
                <w:rFonts w:ascii="Times New Roman" w:hAnsi="Times New Roman" w:cs="Times New Roman"/>
                <w:color w:val="000000"/>
              </w:rPr>
              <w:t>7</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color w:val="000000"/>
              </w:rPr>
              <w:t>3</w:t>
            </w:r>
            <w:r w:rsidR="004464CF">
              <w:rPr>
                <w:rFonts w:ascii="Times New Roman" w:hAnsi="Times New Roman" w:cs="Times New Roman"/>
                <w:color w:val="000000"/>
              </w:rPr>
              <w:t>.</w:t>
            </w:r>
            <w:r w:rsidRPr="002F633F">
              <w:rPr>
                <w:rFonts w:ascii="Times New Roman" w:hAnsi="Times New Roman" w:cs="Times New Roman"/>
                <w:color w:val="000000"/>
              </w:rPr>
              <w:t>6</w:t>
            </w: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bCs/>
                <w:color w:val="000000"/>
              </w:rPr>
              <w:t>92</w:t>
            </w:r>
            <w:r w:rsidR="004464CF">
              <w:rPr>
                <w:rFonts w:ascii="Times New Roman" w:hAnsi="Times New Roman" w:cs="Times New Roman"/>
                <w:bCs/>
                <w:color w:val="000000"/>
              </w:rPr>
              <w:t>.</w:t>
            </w:r>
            <w:r w:rsidRPr="002F633F">
              <w:rPr>
                <w:rFonts w:ascii="Times New Roman" w:hAnsi="Times New Roman" w:cs="Times New Roman"/>
                <w:bCs/>
                <w:color w:val="000000"/>
              </w:rPr>
              <w:t>32</w:t>
            </w:r>
          </w:p>
        </w:tc>
      </w:tr>
      <w:tr w:rsidR="002F633F" w:rsidRPr="002F633F" w:rsidTr="00C4220F">
        <w:trPr>
          <w:trHeight w:val="255"/>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ind w:left="346"/>
              <w:rPr>
                <w:rFonts w:ascii="Times New Roman" w:eastAsia="Times New Roman" w:hAnsi="Times New Roman" w:cs="Times New Roman"/>
                <w:color w:val="000000"/>
              </w:rPr>
            </w:pPr>
            <w:r w:rsidRPr="002F633F">
              <w:rPr>
                <w:rFonts w:ascii="Times New Roman" w:eastAsia="Times New Roman" w:hAnsi="Times New Roman" w:cs="Times New Roman"/>
                <w:color w:val="000000"/>
              </w:rPr>
              <w:t>Управление на обекта</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62</w:t>
            </w:r>
            <w:r w:rsidR="004464CF">
              <w:rPr>
                <w:rFonts w:ascii="Times New Roman" w:hAnsi="Times New Roman" w:cs="Times New Roman"/>
                <w:color w:val="000000"/>
              </w:rPr>
              <w:t>.</w:t>
            </w:r>
            <w:r w:rsidRPr="00DB1A1E">
              <w:rPr>
                <w:rFonts w:ascii="Times New Roman" w:hAnsi="Times New Roman" w:cs="Times New Roman"/>
                <w:color w:val="000000"/>
              </w:rPr>
              <w:t>6</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color w:val="000000"/>
              </w:rPr>
              <w:t>3</w:t>
            </w:r>
            <w:r w:rsidR="004464CF">
              <w:rPr>
                <w:rFonts w:ascii="Times New Roman" w:hAnsi="Times New Roman" w:cs="Times New Roman"/>
                <w:color w:val="000000"/>
              </w:rPr>
              <w:t>.</w:t>
            </w:r>
            <w:r w:rsidRPr="002F633F">
              <w:rPr>
                <w:rFonts w:ascii="Times New Roman" w:hAnsi="Times New Roman" w:cs="Times New Roman"/>
                <w:color w:val="000000"/>
              </w:rPr>
              <w:t>1</w:t>
            </w: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bCs/>
                <w:color w:val="000000"/>
              </w:rPr>
              <w:t>70</w:t>
            </w:r>
            <w:r w:rsidR="004464CF">
              <w:rPr>
                <w:rFonts w:ascii="Times New Roman" w:hAnsi="Times New Roman" w:cs="Times New Roman"/>
                <w:bCs/>
                <w:color w:val="000000"/>
              </w:rPr>
              <w:t>.</w:t>
            </w:r>
            <w:r w:rsidRPr="002F633F">
              <w:rPr>
                <w:rFonts w:ascii="Times New Roman" w:hAnsi="Times New Roman" w:cs="Times New Roman"/>
                <w:bCs/>
                <w:color w:val="000000"/>
              </w:rPr>
              <w:t>16</w:t>
            </w:r>
          </w:p>
        </w:tc>
      </w:tr>
      <w:tr w:rsidR="002F633F" w:rsidRPr="002F633F" w:rsidTr="00C4220F">
        <w:trPr>
          <w:trHeight w:val="255"/>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ind w:left="346"/>
              <w:rPr>
                <w:rFonts w:ascii="Times New Roman" w:eastAsia="Times New Roman" w:hAnsi="Times New Roman" w:cs="Times New Roman"/>
                <w:color w:val="000000"/>
              </w:rPr>
            </w:pPr>
            <w:r w:rsidRPr="002F633F">
              <w:rPr>
                <w:rFonts w:ascii="Times New Roman" w:eastAsia="Times New Roman" w:hAnsi="Times New Roman" w:cs="Times New Roman"/>
                <w:color w:val="000000"/>
              </w:rPr>
              <w:t>Надзор</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46</w:t>
            </w:r>
            <w:r w:rsidR="004464CF">
              <w:rPr>
                <w:rFonts w:ascii="Times New Roman" w:hAnsi="Times New Roman" w:cs="Times New Roman"/>
                <w:color w:val="000000"/>
              </w:rPr>
              <w:t>.</w:t>
            </w:r>
            <w:r w:rsidRPr="00DB1A1E">
              <w:rPr>
                <w:rFonts w:ascii="Times New Roman" w:hAnsi="Times New Roman" w:cs="Times New Roman"/>
                <w:color w:val="000000"/>
              </w:rPr>
              <w:t>9</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bCs/>
                <w:color w:val="000000"/>
              </w:rPr>
              <w:t>52</w:t>
            </w:r>
            <w:r w:rsidR="004464CF">
              <w:rPr>
                <w:rFonts w:ascii="Times New Roman" w:hAnsi="Times New Roman" w:cs="Times New Roman"/>
                <w:bCs/>
                <w:color w:val="000000"/>
              </w:rPr>
              <w:t>.</w:t>
            </w:r>
            <w:r w:rsidRPr="002F633F">
              <w:rPr>
                <w:rFonts w:ascii="Times New Roman" w:hAnsi="Times New Roman" w:cs="Times New Roman"/>
                <w:bCs/>
                <w:color w:val="000000"/>
              </w:rPr>
              <w:t>70</w:t>
            </w:r>
          </w:p>
        </w:tc>
      </w:tr>
      <w:tr w:rsidR="002F633F" w:rsidRPr="002F633F" w:rsidTr="00C4220F">
        <w:trPr>
          <w:trHeight w:val="255"/>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ind w:left="346"/>
              <w:rPr>
                <w:rFonts w:ascii="Times New Roman" w:eastAsia="Times New Roman" w:hAnsi="Times New Roman" w:cs="Times New Roman"/>
                <w:color w:val="000000"/>
              </w:rPr>
            </w:pPr>
            <w:r w:rsidRPr="002F633F">
              <w:rPr>
                <w:rFonts w:ascii="Times New Roman" w:eastAsia="Times New Roman" w:hAnsi="Times New Roman" w:cs="Times New Roman"/>
                <w:color w:val="000000"/>
              </w:rPr>
              <w:t>Данъци</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91</w:t>
            </w:r>
            <w:r w:rsidR="004464CF">
              <w:rPr>
                <w:rFonts w:ascii="Times New Roman" w:hAnsi="Times New Roman" w:cs="Times New Roman"/>
                <w:color w:val="000000"/>
              </w:rPr>
              <w:t>.</w:t>
            </w:r>
            <w:r w:rsidRPr="00DB1A1E">
              <w:rPr>
                <w:rFonts w:ascii="Times New Roman" w:hAnsi="Times New Roman" w:cs="Times New Roman"/>
                <w:color w:val="000000"/>
              </w:rPr>
              <w:t>5</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color w:val="000000"/>
              </w:rPr>
              <w:t>4</w:t>
            </w:r>
            <w:r w:rsidR="004464CF">
              <w:rPr>
                <w:rFonts w:ascii="Times New Roman" w:hAnsi="Times New Roman" w:cs="Times New Roman"/>
                <w:color w:val="000000"/>
              </w:rPr>
              <w:t>.</w:t>
            </w:r>
            <w:r w:rsidRPr="002F633F">
              <w:rPr>
                <w:rFonts w:ascii="Times New Roman" w:hAnsi="Times New Roman" w:cs="Times New Roman"/>
                <w:color w:val="000000"/>
              </w:rPr>
              <w:t>6</w:t>
            </w: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bCs/>
                <w:color w:val="000000"/>
              </w:rPr>
              <w:t>102</w:t>
            </w:r>
            <w:r w:rsidR="004464CF">
              <w:rPr>
                <w:rFonts w:ascii="Times New Roman" w:hAnsi="Times New Roman" w:cs="Times New Roman"/>
                <w:bCs/>
                <w:color w:val="000000"/>
              </w:rPr>
              <w:t>.</w:t>
            </w:r>
            <w:r w:rsidRPr="002F633F">
              <w:rPr>
                <w:rFonts w:ascii="Times New Roman" w:hAnsi="Times New Roman" w:cs="Times New Roman"/>
                <w:bCs/>
                <w:color w:val="000000"/>
              </w:rPr>
              <w:t>61</w:t>
            </w:r>
          </w:p>
        </w:tc>
      </w:tr>
      <w:tr w:rsidR="002F633F" w:rsidRPr="002F633F" w:rsidTr="00C4220F">
        <w:trPr>
          <w:trHeight w:val="86"/>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rPr>
                <w:rFonts w:ascii="Times New Roman" w:eastAsia="Times New Roman" w:hAnsi="Times New Roman" w:cs="Times New Roman"/>
                <w:color w:val="000000"/>
                <w:sz w:val="6"/>
              </w:rPr>
            </w:pPr>
            <w:r w:rsidRPr="002F633F">
              <w:rPr>
                <w:rFonts w:ascii="Times New Roman" w:eastAsia="Times New Roman" w:hAnsi="Times New Roman" w:cs="Times New Roman"/>
                <w:color w:val="000000"/>
                <w:sz w:val="6"/>
              </w:rPr>
              <w:t> </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sz w:val="6"/>
              </w:rPr>
            </w:pP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sz w:val="6"/>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sz w:val="6"/>
              </w:rPr>
            </w:pPr>
          </w:p>
        </w:tc>
      </w:tr>
      <w:tr w:rsidR="002F633F" w:rsidRPr="002F633F" w:rsidTr="00C4220F">
        <w:trPr>
          <w:trHeight w:val="255"/>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rPr>
                <w:rFonts w:ascii="Times New Roman" w:eastAsia="Times New Roman" w:hAnsi="Times New Roman" w:cs="Times New Roman"/>
                <w:b/>
                <w:bCs/>
                <w:color w:val="000000"/>
              </w:rPr>
            </w:pPr>
            <w:r w:rsidRPr="002F633F">
              <w:rPr>
                <w:rFonts w:ascii="Times New Roman" w:eastAsia="Times New Roman" w:hAnsi="Times New Roman" w:cs="Times New Roman"/>
                <w:b/>
                <w:bCs/>
                <w:color w:val="000000"/>
              </w:rPr>
              <w:t xml:space="preserve">Непредвидени и извънредни разходи </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321</w:t>
            </w:r>
            <w:r w:rsidR="004464CF">
              <w:rPr>
                <w:rFonts w:ascii="Times New Roman" w:hAnsi="Times New Roman" w:cs="Times New Roman"/>
                <w:color w:val="000000"/>
              </w:rPr>
              <w:t>.</w:t>
            </w:r>
            <w:r w:rsidRPr="00DB1A1E">
              <w:rPr>
                <w:rFonts w:ascii="Times New Roman" w:hAnsi="Times New Roman" w:cs="Times New Roman"/>
                <w:color w:val="000000"/>
              </w:rPr>
              <w:t>7</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bCs/>
                <w:color w:val="000000"/>
              </w:rPr>
              <w:t>381</w:t>
            </w:r>
            <w:r w:rsidR="004464CF">
              <w:rPr>
                <w:rFonts w:ascii="Times New Roman" w:hAnsi="Times New Roman" w:cs="Times New Roman"/>
                <w:bCs/>
                <w:color w:val="000000"/>
              </w:rPr>
              <w:t>.</w:t>
            </w:r>
            <w:r w:rsidRPr="002F633F">
              <w:rPr>
                <w:rFonts w:ascii="Times New Roman" w:hAnsi="Times New Roman" w:cs="Times New Roman"/>
                <w:bCs/>
                <w:color w:val="000000"/>
              </w:rPr>
              <w:t>08</w:t>
            </w:r>
          </w:p>
        </w:tc>
      </w:tr>
      <w:tr w:rsidR="002F633F" w:rsidRPr="002F633F" w:rsidTr="00C4220F">
        <w:trPr>
          <w:trHeight w:val="94"/>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rPr>
                <w:rFonts w:ascii="Times New Roman" w:eastAsia="Times New Roman" w:hAnsi="Times New Roman" w:cs="Times New Roman"/>
                <w:sz w:val="6"/>
              </w:rPr>
            </w:pPr>
            <w:r w:rsidRPr="002F633F">
              <w:rPr>
                <w:rFonts w:ascii="Times New Roman" w:eastAsia="Times New Roman" w:hAnsi="Times New Roman" w:cs="Times New Roman"/>
                <w:sz w:val="6"/>
              </w:rPr>
              <w:t> </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sz w:val="6"/>
              </w:rPr>
            </w:pP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sz w:val="6"/>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sz w:val="6"/>
              </w:rPr>
            </w:pPr>
          </w:p>
        </w:tc>
      </w:tr>
      <w:tr w:rsidR="002F633F" w:rsidRPr="002F633F" w:rsidTr="00C4220F">
        <w:trPr>
          <w:trHeight w:val="255"/>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rPr>
                <w:rFonts w:ascii="Times New Roman" w:eastAsia="Times New Roman" w:hAnsi="Times New Roman" w:cs="Times New Roman"/>
                <w:b/>
                <w:bCs/>
                <w:color w:val="000000"/>
              </w:rPr>
            </w:pPr>
            <w:r w:rsidRPr="002F633F">
              <w:rPr>
                <w:rFonts w:ascii="Times New Roman" w:eastAsia="Times New Roman" w:hAnsi="Times New Roman" w:cs="Times New Roman"/>
                <w:b/>
                <w:bCs/>
                <w:color w:val="000000"/>
              </w:rPr>
              <w:t>Общо за строителство</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7209</w:t>
            </w:r>
            <w:r w:rsidR="004464CF">
              <w:rPr>
                <w:rFonts w:ascii="Times New Roman" w:hAnsi="Times New Roman" w:cs="Times New Roman"/>
                <w:color w:val="000000"/>
              </w:rPr>
              <w:t>.</w:t>
            </w:r>
            <w:r w:rsidRPr="00DB1A1E">
              <w:rPr>
                <w:rFonts w:ascii="Times New Roman" w:hAnsi="Times New Roman" w:cs="Times New Roman"/>
                <w:color w:val="000000"/>
              </w:rPr>
              <w:t>5</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color w:val="000000"/>
              </w:rPr>
              <w:t>8325</w:t>
            </w:r>
            <w:r w:rsidR="004464CF">
              <w:rPr>
                <w:rFonts w:ascii="Times New Roman" w:hAnsi="Times New Roman" w:cs="Times New Roman"/>
                <w:color w:val="000000"/>
              </w:rPr>
              <w:t>.</w:t>
            </w:r>
            <w:r w:rsidRPr="002F633F">
              <w:rPr>
                <w:rFonts w:ascii="Times New Roman" w:hAnsi="Times New Roman" w:cs="Times New Roman"/>
                <w:color w:val="000000"/>
              </w:rPr>
              <w:t>84</w:t>
            </w:r>
          </w:p>
        </w:tc>
      </w:tr>
      <w:tr w:rsidR="002F633F" w:rsidRPr="002F633F" w:rsidTr="00C4220F">
        <w:trPr>
          <w:trHeight w:val="74"/>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rPr>
                <w:rFonts w:ascii="Times New Roman" w:eastAsia="Times New Roman" w:hAnsi="Times New Roman" w:cs="Times New Roman"/>
                <w:sz w:val="6"/>
              </w:rPr>
            </w:pPr>
            <w:r w:rsidRPr="002F633F">
              <w:rPr>
                <w:rFonts w:ascii="Times New Roman" w:eastAsia="Times New Roman" w:hAnsi="Times New Roman" w:cs="Times New Roman"/>
                <w:sz w:val="6"/>
              </w:rPr>
              <w:t> </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sz w:val="6"/>
              </w:rPr>
            </w:pP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sz w:val="6"/>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sz w:val="6"/>
              </w:rPr>
            </w:pPr>
          </w:p>
        </w:tc>
      </w:tr>
      <w:tr w:rsidR="002F633F" w:rsidRPr="002F633F" w:rsidTr="00C4220F">
        <w:trPr>
          <w:trHeight w:val="255"/>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rPr>
                <w:rFonts w:ascii="Times New Roman" w:eastAsia="Times New Roman" w:hAnsi="Times New Roman" w:cs="Times New Roman"/>
                <w:color w:val="000000"/>
              </w:rPr>
            </w:pPr>
            <w:r w:rsidRPr="002F633F">
              <w:rPr>
                <w:rFonts w:ascii="Times New Roman" w:eastAsia="Times New Roman" w:hAnsi="Times New Roman" w:cs="Times New Roman"/>
                <w:color w:val="000000"/>
              </w:rPr>
              <w:t>Премия за риск и печалби (5%)</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360</w:t>
            </w:r>
            <w:r w:rsidR="004464CF">
              <w:rPr>
                <w:rFonts w:ascii="Times New Roman" w:hAnsi="Times New Roman" w:cs="Times New Roman"/>
                <w:color w:val="000000"/>
              </w:rPr>
              <w:t>.</w:t>
            </w:r>
            <w:r w:rsidRPr="00DB1A1E">
              <w:rPr>
                <w:rFonts w:ascii="Times New Roman" w:hAnsi="Times New Roman" w:cs="Times New Roman"/>
                <w:color w:val="000000"/>
              </w:rPr>
              <w:t>5</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bCs/>
                <w:color w:val="000000"/>
              </w:rPr>
              <w:t>427</w:t>
            </w:r>
            <w:r w:rsidR="004464CF">
              <w:rPr>
                <w:rFonts w:ascii="Times New Roman" w:hAnsi="Times New Roman" w:cs="Times New Roman"/>
                <w:bCs/>
                <w:color w:val="000000"/>
              </w:rPr>
              <w:t>.</w:t>
            </w:r>
            <w:r w:rsidRPr="002F633F">
              <w:rPr>
                <w:rFonts w:ascii="Times New Roman" w:hAnsi="Times New Roman" w:cs="Times New Roman"/>
                <w:bCs/>
                <w:color w:val="000000"/>
              </w:rPr>
              <w:t>07</w:t>
            </w:r>
          </w:p>
        </w:tc>
      </w:tr>
      <w:tr w:rsidR="002F633F" w:rsidRPr="002F633F" w:rsidTr="00C4220F">
        <w:trPr>
          <w:trHeight w:val="68"/>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rPr>
                <w:rFonts w:ascii="Times New Roman" w:eastAsia="Times New Roman" w:hAnsi="Times New Roman" w:cs="Times New Roman"/>
                <w:sz w:val="6"/>
              </w:rPr>
            </w:pPr>
            <w:r w:rsidRPr="002F633F">
              <w:rPr>
                <w:rFonts w:ascii="Times New Roman" w:eastAsia="Times New Roman" w:hAnsi="Times New Roman" w:cs="Times New Roman"/>
                <w:sz w:val="6"/>
              </w:rPr>
              <w:t> </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sz w:val="6"/>
              </w:rPr>
            </w:pP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sz w:val="6"/>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sz w:val="6"/>
              </w:rPr>
            </w:pPr>
          </w:p>
        </w:tc>
      </w:tr>
      <w:tr w:rsidR="002F633F" w:rsidRPr="002F633F" w:rsidTr="00C4220F">
        <w:trPr>
          <w:trHeight w:val="255"/>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rPr>
                <w:rFonts w:ascii="Times New Roman" w:eastAsia="Times New Roman" w:hAnsi="Times New Roman" w:cs="Times New Roman"/>
                <w:b/>
                <w:bCs/>
                <w:color w:val="000000"/>
              </w:rPr>
            </w:pPr>
            <w:r w:rsidRPr="002F633F">
              <w:rPr>
                <w:rFonts w:ascii="Times New Roman" w:eastAsia="Times New Roman" w:hAnsi="Times New Roman" w:cs="Times New Roman"/>
                <w:b/>
                <w:bCs/>
                <w:color w:val="000000"/>
              </w:rPr>
              <w:t>Сума за договор „под ключ“ (ИДС)</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7570</w:t>
            </w:r>
            <w:r w:rsidR="004464CF">
              <w:rPr>
                <w:rFonts w:ascii="Times New Roman" w:hAnsi="Times New Roman" w:cs="Times New Roman"/>
                <w:color w:val="000000"/>
              </w:rPr>
              <w:t>.</w:t>
            </w:r>
            <w:r w:rsidRPr="00DB1A1E">
              <w:rPr>
                <w:rFonts w:ascii="Times New Roman" w:hAnsi="Times New Roman" w:cs="Times New Roman"/>
                <w:color w:val="000000"/>
              </w:rPr>
              <w:t>0</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color w:val="000000"/>
              </w:rPr>
              <w:t>8752</w:t>
            </w:r>
            <w:r w:rsidR="004464CF">
              <w:rPr>
                <w:rFonts w:ascii="Times New Roman" w:hAnsi="Times New Roman" w:cs="Times New Roman"/>
                <w:color w:val="000000"/>
              </w:rPr>
              <w:t>.</w:t>
            </w:r>
            <w:r w:rsidRPr="002F633F">
              <w:rPr>
                <w:rFonts w:ascii="Times New Roman" w:hAnsi="Times New Roman" w:cs="Times New Roman"/>
                <w:color w:val="000000"/>
              </w:rPr>
              <w:t>90</w:t>
            </w:r>
          </w:p>
        </w:tc>
      </w:tr>
      <w:tr w:rsidR="002F633F" w:rsidRPr="002F633F" w:rsidTr="00C4220F">
        <w:trPr>
          <w:trHeight w:val="72"/>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rPr>
                <w:rFonts w:ascii="Times New Roman" w:eastAsia="Times New Roman" w:hAnsi="Times New Roman" w:cs="Times New Roman"/>
                <w:sz w:val="6"/>
              </w:rPr>
            </w:pPr>
            <w:r w:rsidRPr="002F633F">
              <w:rPr>
                <w:rFonts w:ascii="Times New Roman" w:eastAsia="Times New Roman" w:hAnsi="Times New Roman" w:cs="Times New Roman"/>
                <w:sz w:val="6"/>
              </w:rPr>
              <w:t> </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sz w:val="6"/>
              </w:rPr>
            </w:pP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sz w:val="6"/>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sz w:val="6"/>
              </w:rPr>
            </w:pPr>
          </w:p>
        </w:tc>
      </w:tr>
      <w:tr w:rsidR="002F633F" w:rsidRPr="002F633F" w:rsidTr="00C4220F">
        <w:trPr>
          <w:trHeight w:val="255"/>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rPr>
                <w:rFonts w:ascii="Times New Roman" w:eastAsia="Times New Roman" w:hAnsi="Times New Roman" w:cs="Times New Roman"/>
                <w:b/>
                <w:bCs/>
              </w:rPr>
            </w:pPr>
            <w:r w:rsidRPr="002F633F">
              <w:rPr>
                <w:rFonts w:ascii="Times New Roman" w:eastAsia="Times New Roman" w:hAnsi="Times New Roman" w:cs="Times New Roman"/>
                <w:b/>
                <w:bCs/>
              </w:rPr>
              <w:t>Разходи на собственика на проекта, в т.ч.:</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1630</w:t>
            </w:r>
            <w:r w:rsidR="004464CF">
              <w:rPr>
                <w:rFonts w:ascii="Times New Roman" w:hAnsi="Times New Roman" w:cs="Times New Roman"/>
                <w:color w:val="000000"/>
              </w:rPr>
              <w:t>.</w:t>
            </w:r>
            <w:r w:rsidRPr="00DB1A1E">
              <w:rPr>
                <w:rFonts w:ascii="Times New Roman" w:hAnsi="Times New Roman" w:cs="Times New Roman"/>
                <w:color w:val="000000"/>
              </w:rPr>
              <w:t>5</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color w:val="000000"/>
              </w:rPr>
              <w:t>1774</w:t>
            </w:r>
            <w:r w:rsidR="004464CF">
              <w:rPr>
                <w:rFonts w:ascii="Times New Roman" w:hAnsi="Times New Roman" w:cs="Times New Roman"/>
                <w:color w:val="000000"/>
              </w:rPr>
              <w:t>.</w:t>
            </w:r>
            <w:r w:rsidRPr="002F633F">
              <w:rPr>
                <w:rFonts w:ascii="Times New Roman" w:hAnsi="Times New Roman" w:cs="Times New Roman"/>
                <w:color w:val="000000"/>
              </w:rPr>
              <w:t>74</w:t>
            </w:r>
          </w:p>
        </w:tc>
      </w:tr>
      <w:tr w:rsidR="002F633F" w:rsidRPr="002F633F" w:rsidTr="00C4220F">
        <w:trPr>
          <w:trHeight w:val="270"/>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ind w:left="346"/>
              <w:rPr>
                <w:rFonts w:ascii="Times New Roman" w:eastAsia="Times New Roman" w:hAnsi="Times New Roman" w:cs="Times New Roman"/>
                <w:b/>
                <w:bCs/>
                <w:i/>
                <w:iCs/>
              </w:rPr>
            </w:pPr>
            <w:r w:rsidRPr="002F633F">
              <w:rPr>
                <w:rFonts w:ascii="Times New Roman" w:eastAsia="Times New Roman" w:hAnsi="Times New Roman" w:cs="Times New Roman"/>
                <w:b/>
                <w:bCs/>
                <w:i/>
                <w:iCs/>
              </w:rPr>
              <w:t>Мобилизация на строителя:</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p>
        </w:tc>
      </w:tr>
      <w:tr w:rsidR="002F633F" w:rsidRPr="002F633F" w:rsidTr="00C4220F">
        <w:trPr>
          <w:trHeight w:val="315"/>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ind w:left="346"/>
              <w:rPr>
                <w:rFonts w:ascii="Times New Roman" w:eastAsia="Times New Roman" w:hAnsi="Times New Roman" w:cs="Times New Roman"/>
                <w:color w:val="000000"/>
              </w:rPr>
            </w:pPr>
            <w:r w:rsidRPr="002F633F">
              <w:rPr>
                <w:rFonts w:ascii="Times New Roman" w:eastAsia="Times New Roman" w:hAnsi="Times New Roman" w:cs="Times New Roman"/>
                <w:color w:val="000000"/>
              </w:rPr>
              <w:t xml:space="preserve">Идеен и технически проект </w:t>
            </w:r>
            <w:r w:rsidRPr="002F633F">
              <w:rPr>
                <w:rFonts w:ascii="Times New Roman" w:eastAsia="Times New Roman" w:hAnsi="Times New Roman" w:cs="Times New Roman"/>
                <w:color w:val="000000"/>
                <w:vertAlign w:val="superscript"/>
              </w:rPr>
              <w:t>2)</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217</w:t>
            </w:r>
            <w:r w:rsidR="004464CF">
              <w:rPr>
                <w:rFonts w:ascii="Times New Roman" w:hAnsi="Times New Roman" w:cs="Times New Roman"/>
                <w:color w:val="000000"/>
              </w:rPr>
              <w:t>.</w:t>
            </w:r>
            <w:r w:rsidRPr="00DB1A1E">
              <w:rPr>
                <w:rFonts w:ascii="Times New Roman" w:hAnsi="Times New Roman" w:cs="Times New Roman"/>
                <w:color w:val="000000"/>
              </w:rPr>
              <w:t>6</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color w:val="000000"/>
              </w:rPr>
              <w:t>217</w:t>
            </w:r>
            <w:r w:rsidR="004464CF">
              <w:rPr>
                <w:rFonts w:ascii="Times New Roman" w:hAnsi="Times New Roman" w:cs="Times New Roman"/>
                <w:color w:val="000000"/>
              </w:rPr>
              <w:t>.</w:t>
            </w:r>
            <w:r w:rsidRPr="002F633F">
              <w:rPr>
                <w:rFonts w:ascii="Times New Roman" w:hAnsi="Times New Roman" w:cs="Times New Roman"/>
                <w:color w:val="000000"/>
              </w:rPr>
              <w:t>6</w:t>
            </w: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bCs/>
                <w:color w:val="000000"/>
              </w:rPr>
              <w:t>217</w:t>
            </w:r>
            <w:r w:rsidR="004464CF">
              <w:rPr>
                <w:rFonts w:ascii="Times New Roman" w:hAnsi="Times New Roman" w:cs="Times New Roman"/>
                <w:bCs/>
                <w:color w:val="000000"/>
              </w:rPr>
              <w:t>.</w:t>
            </w:r>
            <w:r w:rsidRPr="002F633F">
              <w:rPr>
                <w:rFonts w:ascii="Times New Roman" w:hAnsi="Times New Roman" w:cs="Times New Roman"/>
                <w:bCs/>
                <w:color w:val="000000"/>
              </w:rPr>
              <w:t>57</w:t>
            </w:r>
          </w:p>
        </w:tc>
      </w:tr>
      <w:tr w:rsidR="002F633F" w:rsidRPr="002F633F" w:rsidTr="00C4220F">
        <w:trPr>
          <w:trHeight w:val="255"/>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ind w:left="346"/>
              <w:rPr>
                <w:rFonts w:ascii="Times New Roman" w:eastAsia="Times New Roman" w:hAnsi="Times New Roman" w:cs="Times New Roman"/>
                <w:color w:val="000000"/>
              </w:rPr>
            </w:pPr>
            <w:r w:rsidRPr="002F633F">
              <w:rPr>
                <w:rFonts w:ascii="Times New Roman" w:eastAsia="Times New Roman" w:hAnsi="Times New Roman" w:cs="Times New Roman"/>
                <w:color w:val="000000"/>
              </w:rPr>
              <w:t xml:space="preserve">Подготовка на площадка за ново строителство </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122</w:t>
            </w:r>
            <w:r w:rsidR="004464CF">
              <w:rPr>
                <w:rFonts w:ascii="Times New Roman" w:hAnsi="Times New Roman" w:cs="Times New Roman"/>
                <w:color w:val="000000"/>
              </w:rPr>
              <w:t>.</w:t>
            </w:r>
            <w:r w:rsidRPr="00DB1A1E">
              <w:rPr>
                <w:rFonts w:ascii="Times New Roman" w:hAnsi="Times New Roman" w:cs="Times New Roman"/>
                <w:color w:val="000000"/>
              </w:rPr>
              <w:t>8</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color w:val="000000"/>
              </w:rPr>
              <w:t>122</w:t>
            </w:r>
            <w:r w:rsidR="004464CF">
              <w:rPr>
                <w:rFonts w:ascii="Times New Roman" w:hAnsi="Times New Roman" w:cs="Times New Roman"/>
                <w:color w:val="000000"/>
              </w:rPr>
              <w:t>.</w:t>
            </w:r>
            <w:r w:rsidRPr="002F633F">
              <w:rPr>
                <w:rFonts w:ascii="Times New Roman" w:hAnsi="Times New Roman" w:cs="Times New Roman"/>
                <w:color w:val="000000"/>
              </w:rPr>
              <w:t>8</w:t>
            </w: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bCs/>
                <w:color w:val="000000"/>
              </w:rPr>
              <w:t>122</w:t>
            </w:r>
            <w:r w:rsidR="004464CF">
              <w:rPr>
                <w:rFonts w:ascii="Times New Roman" w:hAnsi="Times New Roman" w:cs="Times New Roman"/>
                <w:bCs/>
                <w:color w:val="000000"/>
              </w:rPr>
              <w:t>.</w:t>
            </w:r>
            <w:r w:rsidRPr="002F633F">
              <w:rPr>
                <w:rFonts w:ascii="Times New Roman" w:hAnsi="Times New Roman" w:cs="Times New Roman"/>
                <w:bCs/>
                <w:color w:val="000000"/>
              </w:rPr>
              <w:t>75</w:t>
            </w:r>
          </w:p>
        </w:tc>
      </w:tr>
      <w:tr w:rsidR="002F633F" w:rsidRPr="002F633F" w:rsidTr="00C4220F">
        <w:trPr>
          <w:trHeight w:val="255"/>
          <w:jc w:val="center"/>
        </w:trPr>
        <w:tc>
          <w:tcPr>
            <w:tcW w:w="1909" w:type="pct"/>
            <w:tcBorders>
              <w:top w:val="nil"/>
              <w:left w:val="single" w:sz="12" w:space="0" w:color="auto"/>
              <w:bottom w:val="single" w:sz="4" w:space="0" w:color="auto"/>
              <w:right w:val="single" w:sz="12" w:space="0" w:color="auto"/>
            </w:tcBorders>
            <w:shd w:val="clear" w:color="auto" w:fill="auto"/>
            <w:noWrap/>
            <w:vAlign w:val="center"/>
            <w:hideMark/>
          </w:tcPr>
          <w:p w:rsidR="002F633F" w:rsidRPr="002F633F" w:rsidRDefault="002F633F" w:rsidP="00965B20">
            <w:pPr>
              <w:spacing w:after="0"/>
              <w:ind w:left="346"/>
              <w:rPr>
                <w:rFonts w:ascii="Times New Roman" w:eastAsia="Times New Roman" w:hAnsi="Times New Roman" w:cs="Times New Roman"/>
                <w:color w:val="000000"/>
              </w:rPr>
            </w:pPr>
            <w:r w:rsidRPr="002F633F">
              <w:rPr>
                <w:rFonts w:ascii="Times New Roman" w:eastAsia="Times New Roman" w:hAnsi="Times New Roman" w:cs="Times New Roman"/>
                <w:color w:val="000000"/>
              </w:rPr>
              <w:t>Ядрено гориво (първа зарядка)</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color w:val="000000"/>
              </w:rPr>
            </w:pPr>
            <w:r w:rsidRPr="00DB1A1E">
              <w:rPr>
                <w:rFonts w:ascii="Times New Roman" w:hAnsi="Times New Roman" w:cs="Times New Roman"/>
                <w:color w:val="000000"/>
              </w:rPr>
              <w:t>248</w:t>
            </w:r>
            <w:r w:rsidR="004464CF">
              <w:rPr>
                <w:rFonts w:ascii="Times New Roman" w:hAnsi="Times New Roman" w:cs="Times New Roman"/>
                <w:color w:val="000000"/>
              </w:rPr>
              <w:t>.</w:t>
            </w:r>
            <w:r w:rsidRPr="00DB1A1E">
              <w:rPr>
                <w:rFonts w:ascii="Times New Roman" w:hAnsi="Times New Roman" w:cs="Times New Roman"/>
                <w:color w:val="000000"/>
              </w:rPr>
              <w:t>9</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bCs/>
                <w:color w:val="000000"/>
              </w:rPr>
              <w:t>289</w:t>
            </w:r>
            <w:r w:rsidR="004464CF">
              <w:rPr>
                <w:rFonts w:ascii="Times New Roman" w:hAnsi="Times New Roman" w:cs="Times New Roman"/>
                <w:bCs/>
                <w:color w:val="000000"/>
              </w:rPr>
              <w:t>.</w:t>
            </w:r>
            <w:r w:rsidRPr="002F633F">
              <w:rPr>
                <w:rFonts w:ascii="Times New Roman" w:hAnsi="Times New Roman" w:cs="Times New Roman"/>
                <w:bCs/>
                <w:color w:val="000000"/>
              </w:rPr>
              <w:t>71</w:t>
            </w:r>
          </w:p>
        </w:tc>
      </w:tr>
      <w:tr w:rsidR="002F633F" w:rsidRPr="002F633F" w:rsidTr="00C4220F">
        <w:trPr>
          <w:trHeight w:val="315"/>
          <w:jc w:val="center"/>
        </w:trPr>
        <w:tc>
          <w:tcPr>
            <w:tcW w:w="1909" w:type="pct"/>
            <w:tcBorders>
              <w:top w:val="nil"/>
              <w:left w:val="single" w:sz="12" w:space="0" w:color="auto"/>
              <w:bottom w:val="single" w:sz="4" w:space="0" w:color="auto"/>
              <w:right w:val="single" w:sz="12" w:space="0" w:color="auto"/>
            </w:tcBorders>
            <w:shd w:val="clear" w:color="000000" w:fill="FFFFFF"/>
            <w:noWrap/>
            <w:vAlign w:val="center"/>
            <w:hideMark/>
          </w:tcPr>
          <w:p w:rsidR="002F633F" w:rsidRPr="002F633F" w:rsidRDefault="002F633F" w:rsidP="00965B20">
            <w:pPr>
              <w:spacing w:after="0"/>
              <w:ind w:left="346"/>
              <w:rPr>
                <w:rFonts w:ascii="Times New Roman" w:eastAsia="Times New Roman" w:hAnsi="Times New Roman" w:cs="Times New Roman"/>
                <w:color w:val="000000"/>
              </w:rPr>
            </w:pPr>
            <w:r w:rsidRPr="002F633F">
              <w:rPr>
                <w:rFonts w:ascii="Times New Roman" w:eastAsia="Times New Roman" w:hAnsi="Times New Roman" w:cs="Times New Roman"/>
                <w:color w:val="000000"/>
              </w:rPr>
              <w:t xml:space="preserve">Присъединяване на централата </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rPr>
            </w:pPr>
            <w:r w:rsidRPr="00DB1A1E">
              <w:rPr>
                <w:rFonts w:ascii="Times New Roman" w:hAnsi="Times New Roman" w:cs="Times New Roman"/>
              </w:rPr>
              <w:t>422</w:t>
            </w:r>
            <w:r w:rsidR="004464CF">
              <w:rPr>
                <w:rFonts w:ascii="Times New Roman" w:hAnsi="Times New Roman" w:cs="Times New Roman"/>
              </w:rPr>
              <w:t>.</w:t>
            </w:r>
            <w:r w:rsidRPr="00DB1A1E">
              <w:rPr>
                <w:rFonts w:ascii="Times New Roman" w:hAnsi="Times New Roman" w:cs="Times New Roman"/>
              </w:rPr>
              <w:t>3</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bCs/>
                <w:color w:val="000000"/>
              </w:rPr>
              <w:t>471</w:t>
            </w:r>
            <w:r w:rsidR="004464CF">
              <w:rPr>
                <w:rFonts w:ascii="Times New Roman" w:hAnsi="Times New Roman" w:cs="Times New Roman"/>
                <w:bCs/>
                <w:color w:val="000000"/>
              </w:rPr>
              <w:t>.</w:t>
            </w:r>
            <w:r w:rsidRPr="002F633F">
              <w:rPr>
                <w:rFonts w:ascii="Times New Roman" w:hAnsi="Times New Roman" w:cs="Times New Roman"/>
                <w:bCs/>
                <w:color w:val="000000"/>
              </w:rPr>
              <w:t>95</w:t>
            </w:r>
          </w:p>
        </w:tc>
      </w:tr>
      <w:tr w:rsidR="002F633F" w:rsidRPr="002F633F" w:rsidTr="00C4220F">
        <w:trPr>
          <w:trHeight w:val="315"/>
          <w:jc w:val="center"/>
        </w:trPr>
        <w:tc>
          <w:tcPr>
            <w:tcW w:w="1909" w:type="pct"/>
            <w:tcBorders>
              <w:top w:val="nil"/>
              <w:left w:val="single" w:sz="12" w:space="0" w:color="auto"/>
              <w:bottom w:val="single" w:sz="4" w:space="0" w:color="auto"/>
              <w:right w:val="single" w:sz="12" w:space="0" w:color="auto"/>
            </w:tcBorders>
            <w:shd w:val="clear" w:color="000000" w:fill="FFFFFF"/>
            <w:noWrap/>
            <w:vAlign w:val="center"/>
            <w:hideMark/>
          </w:tcPr>
          <w:p w:rsidR="002F633F" w:rsidRPr="002F633F" w:rsidRDefault="002F633F" w:rsidP="00965B20">
            <w:pPr>
              <w:spacing w:after="0"/>
              <w:ind w:left="346"/>
              <w:rPr>
                <w:rFonts w:ascii="Times New Roman" w:eastAsia="Times New Roman" w:hAnsi="Times New Roman" w:cs="Times New Roman"/>
                <w:color w:val="000000"/>
              </w:rPr>
            </w:pPr>
            <w:r w:rsidRPr="002F633F">
              <w:rPr>
                <w:rFonts w:ascii="Times New Roman" w:eastAsia="Times New Roman" w:hAnsi="Times New Roman" w:cs="Times New Roman"/>
                <w:color w:val="000000"/>
              </w:rPr>
              <w:t>Външна физическа защита на обекта</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rPr>
            </w:pPr>
            <w:r w:rsidRPr="00DB1A1E">
              <w:rPr>
                <w:rFonts w:ascii="Times New Roman" w:hAnsi="Times New Roman" w:cs="Times New Roman"/>
              </w:rPr>
              <w:t>112</w:t>
            </w:r>
            <w:r w:rsidR="004464CF">
              <w:rPr>
                <w:rFonts w:ascii="Times New Roman" w:hAnsi="Times New Roman" w:cs="Times New Roman"/>
              </w:rPr>
              <w:t>.</w:t>
            </w:r>
            <w:r w:rsidRPr="00DB1A1E">
              <w:rPr>
                <w:rFonts w:ascii="Times New Roman" w:hAnsi="Times New Roman" w:cs="Times New Roman"/>
              </w:rPr>
              <w:t>5</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bCs/>
                <w:color w:val="000000"/>
              </w:rPr>
              <w:t>130</w:t>
            </w:r>
            <w:r w:rsidR="004464CF">
              <w:rPr>
                <w:rFonts w:ascii="Times New Roman" w:hAnsi="Times New Roman" w:cs="Times New Roman"/>
                <w:bCs/>
                <w:color w:val="000000"/>
              </w:rPr>
              <w:t>.</w:t>
            </w:r>
            <w:r w:rsidRPr="002F633F">
              <w:rPr>
                <w:rFonts w:ascii="Times New Roman" w:hAnsi="Times New Roman" w:cs="Times New Roman"/>
                <w:bCs/>
                <w:color w:val="000000"/>
              </w:rPr>
              <w:t>70</w:t>
            </w:r>
          </w:p>
        </w:tc>
      </w:tr>
      <w:tr w:rsidR="002F633F" w:rsidRPr="002F633F" w:rsidTr="00C4220F">
        <w:trPr>
          <w:trHeight w:val="315"/>
          <w:jc w:val="center"/>
        </w:trPr>
        <w:tc>
          <w:tcPr>
            <w:tcW w:w="1909" w:type="pct"/>
            <w:tcBorders>
              <w:top w:val="nil"/>
              <w:left w:val="single" w:sz="12" w:space="0" w:color="auto"/>
              <w:bottom w:val="single" w:sz="4" w:space="0" w:color="auto"/>
              <w:right w:val="single" w:sz="12" w:space="0" w:color="auto"/>
            </w:tcBorders>
            <w:shd w:val="clear" w:color="000000" w:fill="FFFFFF"/>
            <w:noWrap/>
            <w:vAlign w:val="center"/>
            <w:hideMark/>
          </w:tcPr>
          <w:p w:rsidR="002F633F" w:rsidRPr="002F633F" w:rsidRDefault="002F633F" w:rsidP="00965B20">
            <w:pPr>
              <w:spacing w:after="0"/>
              <w:ind w:left="346"/>
              <w:rPr>
                <w:rFonts w:ascii="Times New Roman" w:eastAsia="Times New Roman" w:hAnsi="Times New Roman" w:cs="Times New Roman"/>
                <w:color w:val="000000"/>
              </w:rPr>
            </w:pPr>
            <w:r w:rsidRPr="002F633F">
              <w:rPr>
                <w:rFonts w:ascii="Times New Roman" w:eastAsia="Times New Roman" w:hAnsi="Times New Roman" w:cs="Times New Roman"/>
                <w:color w:val="000000"/>
              </w:rPr>
              <w:t>Други допълнения</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rPr>
            </w:pPr>
            <w:r w:rsidRPr="00DB1A1E">
              <w:rPr>
                <w:rFonts w:ascii="Times New Roman" w:hAnsi="Times New Roman" w:cs="Times New Roman"/>
              </w:rPr>
              <w:t>44</w:t>
            </w:r>
            <w:r w:rsidR="004464CF">
              <w:rPr>
                <w:rFonts w:ascii="Times New Roman" w:hAnsi="Times New Roman" w:cs="Times New Roman"/>
              </w:rPr>
              <w:t>.</w:t>
            </w:r>
            <w:r w:rsidRPr="00DB1A1E">
              <w:rPr>
                <w:rFonts w:ascii="Times New Roman" w:hAnsi="Times New Roman" w:cs="Times New Roman"/>
              </w:rPr>
              <w:t>9</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bCs/>
                <w:color w:val="000000"/>
              </w:rPr>
              <w:t>52</w:t>
            </w:r>
            <w:r w:rsidR="004464CF">
              <w:rPr>
                <w:rFonts w:ascii="Times New Roman" w:hAnsi="Times New Roman" w:cs="Times New Roman"/>
                <w:bCs/>
                <w:color w:val="000000"/>
              </w:rPr>
              <w:t>.</w:t>
            </w:r>
            <w:r w:rsidRPr="002F633F">
              <w:rPr>
                <w:rFonts w:ascii="Times New Roman" w:hAnsi="Times New Roman" w:cs="Times New Roman"/>
                <w:bCs/>
                <w:color w:val="000000"/>
              </w:rPr>
              <w:t>28</w:t>
            </w:r>
          </w:p>
        </w:tc>
      </w:tr>
      <w:tr w:rsidR="002F633F" w:rsidRPr="002F633F" w:rsidTr="00C4220F">
        <w:trPr>
          <w:trHeight w:val="255"/>
          <w:jc w:val="center"/>
        </w:trPr>
        <w:tc>
          <w:tcPr>
            <w:tcW w:w="1909" w:type="pct"/>
            <w:tcBorders>
              <w:top w:val="nil"/>
              <w:left w:val="single" w:sz="12" w:space="0" w:color="auto"/>
              <w:bottom w:val="single" w:sz="4" w:space="0" w:color="auto"/>
              <w:right w:val="single" w:sz="12" w:space="0" w:color="auto"/>
            </w:tcBorders>
            <w:shd w:val="clear" w:color="000000" w:fill="FFFFFF"/>
            <w:noWrap/>
            <w:vAlign w:val="center"/>
            <w:hideMark/>
          </w:tcPr>
          <w:p w:rsidR="002F633F" w:rsidRPr="002F633F" w:rsidRDefault="002F633F" w:rsidP="00965B20">
            <w:pPr>
              <w:spacing w:after="0"/>
              <w:ind w:left="346"/>
              <w:rPr>
                <w:rFonts w:ascii="Times New Roman" w:eastAsia="Times New Roman" w:hAnsi="Times New Roman" w:cs="Times New Roman"/>
                <w:color w:val="000000"/>
              </w:rPr>
            </w:pPr>
            <w:r w:rsidRPr="002F633F">
              <w:rPr>
                <w:rFonts w:ascii="Times New Roman" w:eastAsia="Times New Roman" w:hAnsi="Times New Roman" w:cs="Times New Roman"/>
                <w:color w:val="000000"/>
              </w:rPr>
              <w:t>Разходи за инженерна поддръжка</w:t>
            </w:r>
          </w:p>
        </w:tc>
        <w:tc>
          <w:tcPr>
            <w:tcW w:w="88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rPr>
            </w:pPr>
            <w:r w:rsidRPr="00DB1A1E">
              <w:rPr>
                <w:rFonts w:ascii="Times New Roman" w:hAnsi="Times New Roman" w:cs="Times New Roman"/>
              </w:rPr>
              <w:t>450</w:t>
            </w:r>
            <w:r w:rsidR="004464CF">
              <w:rPr>
                <w:rFonts w:ascii="Times New Roman" w:hAnsi="Times New Roman" w:cs="Times New Roman"/>
              </w:rPr>
              <w:t>.</w:t>
            </w:r>
            <w:r w:rsidRPr="00DB1A1E">
              <w:rPr>
                <w:rFonts w:ascii="Times New Roman" w:hAnsi="Times New Roman" w:cs="Times New Roman"/>
              </w:rPr>
              <w:t>1</w:t>
            </w:r>
          </w:p>
        </w:tc>
        <w:tc>
          <w:tcPr>
            <w:tcW w:w="1104" w:type="pct"/>
            <w:tcBorders>
              <w:top w:val="single" w:sz="4" w:space="0" w:color="auto"/>
              <w:left w:val="nil"/>
              <w:bottom w:val="single" w:sz="4"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color w:val="000000"/>
              </w:rPr>
              <w:t>112</w:t>
            </w:r>
            <w:r w:rsidR="004464CF">
              <w:rPr>
                <w:rFonts w:ascii="Times New Roman" w:hAnsi="Times New Roman" w:cs="Times New Roman"/>
                <w:color w:val="000000"/>
              </w:rPr>
              <w:t>.</w:t>
            </w:r>
            <w:r w:rsidRPr="002F633F">
              <w:rPr>
                <w:rFonts w:ascii="Times New Roman" w:hAnsi="Times New Roman" w:cs="Times New Roman"/>
                <w:color w:val="000000"/>
              </w:rPr>
              <w:t>6</w:t>
            </w:r>
          </w:p>
        </w:tc>
        <w:tc>
          <w:tcPr>
            <w:tcW w:w="1104" w:type="pct"/>
            <w:tcBorders>
              <w:top w:val="single" w:sz="4" w:space="0" w:color="auto"/>
              <w:left w:val="nil"/>
              <w:bottom w:val="single" w:sz="4"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color w:val="000000"/>
              </w:rPr>
            </w:pPr>
            <w:r w:rsidRPr="002F633F">
              <w:rPr>
                <w:rFonts w:ascii="Times New Roman" w:hAnsi="Times New Roman" w:cs="Times New Roman"/>
                <w:bCs/>
                <w:color w:val="000000"/>
              </w:rPr>
              <w:t>489</w:t>
            </w:r>
            <w:r w:rsidR="004464CF">
              <w:rPr>
                <w:rFonts w:ascii="Times New Roman" w:hAnsi="Times New Roman" w:cs="Times New Roman"/>
                <w:bCs/>
                <w:color w:val="000000"/>
              </w:rPr>
              <w:t>.</w:t>
            </w:r>
            <w:r w:rsidRPr="002F633F">
              <w:rPr>
                <w:rFonts w:ascii="Times New Roman" w:hAnsi="Times New Roman" w:cs="Times New Roman"/>
                <w:bCs/>
                <w:color w:val="000000"/>
              </w:rPr>
              <w:t>77</w:t>
            </w:r>
          </w:p>
        </w:tc>
      </w:tr>
      <w:tr w:rsidR="002F633F" w:rsidRPr="002F633F" w:rsidTr="00C4220F">
        <w:trPr>
          <w:trHeight w:val="255"/>
          <w:jc w:val="center"/>
        </w:trPr>
        <w:tc>
          <w:tcPr>
            <w:tcW w:w="1909" w:type="pct"/>
            <w:tcBorders>
              <w:top w:val="nil"/>
              <w:left w:val="single" w:sz="12" w:space="0" w:color="auto"/>
              <w:bottom w:val="single" w:sz="12" w:space="0" w:color="auto"/>
              <w:right w:val="single" w:sz="12" w:space="0" w:color="auto"/>
            </w:tcBorders>
            <w:shd w:val="clear" w:color="auto" w:fill="auto"/>
            <w:noWrap/>
            <w:vAlign w:val="bottom"/>
            <w:hideMark/>
          </w:tcPr>
          <w:p w:rsidR="002F633F" w:rsidRPr="002F633F" w:rsidRDefault="002F633F" w:rsidP="00965B20">
            <w:pPr>
              <w:spacing w:after="0"/>
              <w:rPr>
                <w:rFonts w:ascii="Times New Roman" w:eastAsia="Times New Roman" w:hAnsi="Times New Roman" w:cs="Times New Roman"/>
                <w:b/>
                <w:bCs/>
                <w:color w:val="000000"/>
              </w:rPr>
            </w:pPr>
            <w:r w:rsidRPr="002F633F">
              <w:rPr>
                <w:rFonts w:ascii="Times New Roman" w:eastAsia="Times New Roman" w:hAnsi="Times New Roman" w:cs="Times New Roman"/>
                <w:b/>
                <w:bCs/>
                <w:color w:val="000000"/>
              </w:rPr>
              <w:t>ВСИЧКО</w:t>
            </w:r>
          </w:p>
        </w:tc>
        <w:tc>
          <w:tcPr>
            <w:tcW w:w="883" w:type="pct"/>
            <w:tcBorders>
              <w:top w:val="single" w:sz="4" w:space="0" w:color="auto"/>
              <w:left w:val="single" w:sz="12" w:space="0" w:color="auto"/>
              <w:bottom w:val="single" w:sz="12" w:space="0" w:color="auto"/>
              <w:right w:val="single" w:sz="4" w:space="0" w:color="auto"/>
            </w:tcBorders>
            <w:shd w:val="clear" w:color="auto" w:fill="auto"/>
            <w:noWrap/>
            <w:vAlign w:val="bottom"/>
            <w:hideMark/>
          </w:tcPr>
          <w:p w:rsidR="002F633F" w:rsidRPr="00DB1A1E" w:rsidRDefault="002F633F" w:rsidP="00965B20">
            <w:pPr>
              <w:spacing w:after="0"/>
              <w:jc w:val="right"/>
              <w:rPr>
                <w:rFonts w:ascii="Times New Roman" w:hAnsi="Times New Roman" w:cs="Times New Roman"/>
                <w:b/>
                <w:color w:val="000000"/>
              </w:rPr>
            </w:pPr>
            <w:r w:rsidRPr="00DB1A1E">
              <w:rPr>
                <w:rFonts w:ascii="Times New Roman" w:hAnsi="Times New Roman" w:cs="Times New Roman"/>
                <w:b/>
                <w:color w:val="000000"/>
              </w:rPr>
              <w:t>9189</w:t>
            </w:r>
            <w:r w:rsidR="004464CF">
              <w:rPr>
                <w:rFonts w:ascii="Times New Roman" w:hAnsi="Times New Roman" w:cs="Times New Roman"/>
                <w:b/>
                <w:color w:val="000000"/>
              </w:rPr>
              <w:t>.</w:t>
            </w:r>
            <w:r w:rsidRPr="00DB1A1E">
              <w:rPr>
                <w:rFonts w:ascii="Times New Roman" w:hAnsi="Times New Roman" w:cs="Times New Roman"/>
                <w:b/>
                <w:color w:val="000000"/>
              </w:rPr>
              <w:t>2</w:t>
            </w:r>
          </w:p>
        </w:tc>
        <w:tc>
          <w:tcPr>
            <w:tcW w:w="1104" w:type="pct"/>
            <w:tcBorders>
              <w:top w:val="single" w:sz="4" w:space="0" w:color="auto"/>
              <w:left w:val="nil"/>
              <w:bottom w:val="single" w:sz="12" w:space="0" w:color="auto"/>
              <w:right w:val="single" w:sz="4" w:space="0" w:color="auto"/>
            </w:tcBorders>
            <w:vAlign w:val="bottom"/>
          </w:tcPr>
          <w:p w:rsidR="002F633F" w:rsidRPr="002F633F" w:rsidRDefault="002F633F" w:rsidP="00965B20">
            <w:pPr>
              <w:spacing w:after="0"/>
              <w:jc w:val="right"/>
              <w:rPr>
                <w:rFonts w:ascii="Times New Roman" w:hAnsi="Times New Roman" w:cs="Times New Roman"/>
                <w:b/>
                <w:color w:val="000000"/>
              </w:rPr>
            </w:pPr>
            <w:r w:rsidRPr="002F633F">
              <w:rPr>
                <w:rFonts w:ascii="Times New Roman" w:hAnsi="Times New Roman" w:cs="Times New Roman"/>
                <w:b/>
                <w:color w:val="000000"/>
              </w:rPr>
              <w:t>1173</w:t>
            </w:r>
            <w:r w:rsidR="004464CF">
              <w:rPr>
                <w:rFonts w:ascii="Times New Roman" w:hAnsi="Times New Roman" w:cs="Times New Roman"/>
                <w:b/>
                <w:color w:val="000000"/>
              </w:rPr>
              <w:t>.</w:t>
            </w:r>
            <w:r w:rsidRPr="002F633F">
              <w:rPr>
                <w:rFonts w:ascii="Times New Roman" w:hAnsi="Times New Roman" w:cs="Times New Roman"/>
                <w:b/>
                <w:color w:val="000000"/>
              </w:rPr>
              <w:t>5</w:t>
            </w:r>
          </w:p>
        </w:tc>
        <w:tc>
          <w:tcPr>
            <w:tcW w:w="1104" w:type="pct"/>
            <w:tcBorders>
              <w:top w:val="single" w:sz="4" w:space="0" w:color="auto"/>
              <w:left w:val="nil"/>
              <w:bottom w:val="single" w:sz="12" w:space="0" w:color="auto"/>
              <w:right w:val="single" w:sz="12" w:space="0" w:color="auto"/>
            </w:tcBorders>
            <w:vAlign w:val="bottom"/>
          </w:tcPr>
          <w:p w:rsidR="002F633F" w:rsidRPr="002F633F" w:rsidRDefault="002F633F" w:rsidP="00965B20">
            <w:pPr>
              <w:spacing w:after="0"/>
              <w:jc w:val="right"/>
              <w:rPr>
                <w:rFonts w:ascii="Times New Roman" w:hAnsi="Times New Roman" w:cs="Times New Roman"/>
                <w:b/>
                <w:color w:val="000000"/>
              </w:rPr>
            </w:pPr>
            <w:r w:rsidRPr="002F633F">
              <w:rPr>
                <w:rFonts w:ascii="Times New Roman" w:hAnsi="Times New Roman" w:cs="Times New Roman"/>
                <w:b/>
                <w:bCs/>
              </w:rPr>
              <w:t>10527</w:t>
            </w:r>
            <w:r w:rsidR="004464CF">
              <w:rPr>
                <w:rFonts w:ascii="Times New Roman" w:hAnsi="Times New Roman" w:cs="Times New Roman"/>
                <w:b/>
                <w:bCs/>
              </w:rPr>
              <w:t>.</w:t>
            </w:r>
            <w:r w:rsidRPr="002F633F">
              <w:rPr>
                <w:rFonts w:ascii="Times New Roman" w:hAnsi="Times New Roman" w:cs="Times New Roman"/>
                <w:b/>
                <w:bCs/>
              </w:rPr>
              <w:t>64</w:t>
            </w:r>
          </w:p>
        </w:tc>
      </w:tr>
    </w:tbl>
    <w:p w:rsidR="00950BDF" w:rsidRPr="00395C54" w:rsidRDefault="00950BDF" w:rsidP="00E44C19">
      <w:pPr>
        <w:spacing w:before="120" w:after="120" w:line="240" w:lineRule="auto"/>
        <w:jc w:val="both"/>
        <w:rPr>
          <w:rFonts w:ascii="Times New Roman" w:hAnsi="Times New Roman" w:cs="Times New Roman"/>
          <w:sz w:val="20"/>
          <w:szCs w:val="24"/>
        </w:rPr>
      </w:pPr>
      <w:r w:rsidRPr="00395C54">
        <w:rPr>
          <w:rFonts w:ascii="Times New Roman" w:hAnsi="Times New Roman" w:cs="Times New Roman"/>
          <w:sz w:val="20"/>
          <w:szCs w:val="24"/>
        </w:rPr>
        <w:t xml:space="preserve">Забележка: </w:t>
      </w:r>
      <w:r w:rsidRPr="00534E0A">
        <w:rPr>
          <w:rFonts w:ascii="Times New Roman" w:hAnsi="Times New Roman" w:cs="Times New Roman"/>
          <w:sz w:val="20"/>
          <w:szCs w:val="24"/>
          <w:vertAlign w:val="superscript"/>
        </w:rPr>
        <w:t>1)</w:t>
      </w:r>
      <w:r w:rsidRPr="00534E0A">
        <w:rPr>
          <w:rFonts w:ascii="Times New Roman" w:hAnsi="Times New Roman" w:cs="Times New Roman"/>
          <w:sz w:val="20"/>
          <w:szCs w:val="24"/>
        </w:rPr>
        <w:t xml:space="preserve"> Експертна оценка; </w:t>
      </w:r>
      <w:r w:rsidRPr="00534E0A">
        <w:rPr>
          <w:rFonts w:ascii="Times New Roman" w:hAnsi="Times New Roman" w:cs="Times New Roman"/>
          <w:sz w:val="20"/>
          <w:szCs w:val="24"/>
          <w:vertAlign w:val="superscript"/>
        </w:rPr>
        <w:t>2)</w:t>
      </w:r>
      <w:r w:rsidRPr="00534E0A">
        <w:rPr>
          <w:rFonts w:ascii="Times New Roman" w:hAnsi="Times New Roman" w:cs="Times New Roman"/>
          <w:sz w:val="20"/>
          <w:szCs w:val="24"/>
        </w:rPr>
        <w:t xml:space="preserve"> Възлагането</w:t>
      </w:r>
      <w:r w:rsidRPr="00395C54">
        <w:rPr>
          <w:rFonts w:ascii="Times New Roman" w:hAnsi="Times New Roman" w:cs="Times New Roman"/>
          <w:sz w:val="20"/>
          <w:szCs w:val="24"/>
        </w:rPr>
        <w:t xml:space="preserve"> на идеен и технически проект е по Споразумение от 29.11.2006 г., преди подписването на Договорното споразумение от 18.01.2007 г. за 3997</w:t>
      </w:r>
      <w:r w:rsidR="00010DC4">
        <w:rPr>
          <w:rFonts w:ascii="Times New Roman" w:hAnsi="Times New Roman" w:cs="Times New Roman"/>
          <w:sz w:val="20"/>
          <w:szCs w:val="24"/>
        </w:rPr>
        <w:t>.</w:t>
      </w:r>
      <w:r w:rsidRPr="00395C54">
        <w:rPr>
          <w:rFonts w:ascii="Times New Roman" w:hAnsi="Times New Roman" w:cs="Times New Roman"/>
          <w:sz w:val="20"/>
          <w:szCs w:val="24"/>
        </w:rPr>
        <w:t>26 млн</w:t>
      </w:r>
      <w:r w:rsidR="00FE171E">
        <w:rPr>
          <w:rFonts w:ascii="Times New Roman" w:hAnsi="Times New Roman" w:cs="Times New Roman"/>
          <w:sz w:val="20"/>
          <w:szCs w:val="24"/>
        </w:rPr>
        <w:t>.</w:t>
      </w:r>
      <w:r w:rsidRPr="00395C54">
        <w:rPr>
          <w:rFonts w:ascii="Times New Roman" w:hAnsi="Times New Roman" w:cs="Times New Roman"/>
          <w:sz w:val="20"/>
          <w:szCs w:val="24"/>
        </w:rPr>
        <w:t xml:space="preserve"> евро. За проследимост на разходите по пера е запазена формата начален бюджет заедно с идеен и технически проект.</w:t>
      </w:r>
    </w:p>
    <w:p w:rsidR="00950BDF" w:rsidRDefault="00950BDF" w:rsidP="00E44C19">
      <w:pPr>
        <w:spacing w:before="120" w:after="120" w:line="240" w:lineRule="auto"/>
        <w:jc w:val="both"/>
        <w:rPr>
          <w:rFonts w:ascii="Times New Roman" w:hAnsi="Times New Roman" w:cs="Times New Roman"/>
          <w:sz w:val="20"/>
          <w:szCs w:val="24"/>
        </w:rPr>
      </w:pPr>
      <w:r w:rsidRPr="00395C54">
        <w:rPr>
          <w:rFonts w:ascii="Times New Roman" w:hAnsi="Times New Roman" w:cs="Times New Roman"/>
          <w:sz w:val="20"/>
          <w:szCs w:val="24"/>
        </w:rPr>
        <w:t>Източник: Съставена от авторите на основа на предоставена проектна документация.</w:t>
      </w:r>
    </w:p>
    <w:p w:rsidR="004464CF" w:rsidRDefault="004464CF" w:rsidP="00E44C19">
      <w:pPr>
        <w:spacing w:before="120" w:after="120" w:line="240" w:lineRule="auto"/>
        <w:jc w:val="both"/>
        <w:rPr>
          <w:rFonts w:ascii="Times New Roman" w:hAnsi="Times New Roman" w:cs="Times New Roman"/>
          <w:sz w:val="20"/>
          <w:szCs w:val="24"/>
        </w:rPr>
      </w:pPr>
    </w:p>
    <w:p w:rsidR="00C4220F" w:rsidRDefault="00C4220F" w:rsidP="00E44C19">
      <w:pPr>
        <w:spacing w:before="120" w:after="120" w:line="240" w:lineRule="auto"/>
        <w:jc w:val="both"/>
        <w:rPr>
          <w:rFonts w:ascii="Times New Roman" w:hAnsi="Times New Roman" w:cs="Times New Roman"/>
          <w:sz w:val="20"/>
          <w:szCs w:val="24"/>
        </w:rPr>
      </w:pPr>
    </w:p>
    <w:p w:rsidR="00C4220F" w:rsidRDefault="00C4220F" w:rsidP="00E44C19">
      <w:pPr>
        <w:spacing w:before="120" w:after="120" w:line="240" w:lineRule="auto"/>
        <w:jc w:val="both"/>
        <w:rPr>
          <w:rFonts w:ascii="Times New Roman" w:hAnsi="Times New Roman" w:cs="Times New Roman"/>
          <w:sz w:val="20"/>
          <w:szCs w:val="24"/>
        </w:rPr>
      </w:pPr>
    </w:p>
    <w:p w:rsidR="00C4220F" w:rsidRPr="00395C54" w:rsidRDefault="00C4220F" w:rsidP="00E44C19">
      <w:pPr>
        <w:spacing w:before="120" w:after="120" w:line="240" w:lineRule="auto"/>
        <w:jc w:val="both"/>
        <w:rPr>
          <w:rFonts w:ascii="Times New Roman" w:hAnsi="Times New Roman" w:cs="Times New Roman"/>
          <w:sz w:val="20"/>
          <w:szCs w:val="24"/>
        </w:rPr>
      </w:pPr>
    </w:p>
    <w:p w:rsidR="00950BDF" w:rsidRPr="00C4220F" w:rsidRDefault="001C72F7" w:rsidP="00C4220F">
      <w:pPr>
        <w:pStyle w:val="Caption"/>
        <w:rPr>
          <w:rFonts w:ascii="Times New Roman" w:hAnsi="Times New Roman"/>
          <w:szCs w:val="24"/>
        </w:rPr>
      </w:pPr>
      <w:bookmarkStart w:id="97" w:name="_Toc491990974"/>
      <w:bookmarkStart w:id="98" w:name="_Toc491994409"/>
      <w:bookmarkStart w:id="99" w:name="_Toc493240900"/>
      <w:r w:rsidRPr="00C4220F">
        <w:rPr>
          <w:rFonts w:ascii="Times New Roman" w:hAnsi="Times New Roman"/>
        </w:rPr>
        <w:lastRenderedPageBreak/>
        <w:t>Таблица V.</w:t>
      </w:r>
      <w:r w:rsidR="0097530B" w:rsidRPr="00C4220F">
        <w:rPr>
          <w:rFonts w:ascii="Times New Roman" w:hAnsi="Times New Roman"/>
        </w:rPr>
        <w:fldChar w:fldCharType="begin"/>
      </w:r>
      <w:r w:rsidR="00042F89" w:rsidRPr="00C4220F">
        <w:rPr>
          <w:rFonts w:ascii="Times New Roman" w:hAnsi="Times New Roman"/>
        </w:rPr>
        <w:instrText xml:space="preserve"> SEQ Таблица_V. \* ARABIC </w:instrText>
      </w:r>
      <w:r w:rsidR="0097530B" w:rsidRPr="00C4220F">
        <w:rPr>
          <w:rFonts w:ascii="Times New Roman" w:hAnsi="Times New Roman"/>
        </w:rPr>
        <w:fldChar w:fldCharType="separate"/>
      </w:r>
      <w:r w:rsidR="00F44EBF">
        <w:rPr>
          <w:rFonts w:ascii="Times New Roman" w:hAnsi="Times New Roman"/>
          <w:noProof/>
        </w:rPr>
        <w:t>4</w:t>
      </w:r>
      <w:r w:rsidR="0097530B" w:rsidRPr="00C4220F">
        <w:rPr>
          <w:rFonts w:ascii="Times New Roman" w:hAnsi="Times New Roman"/>
          <w:noProof/>
        </w:rPr>
        <w:fldChar w:fldCharType="end"/>
      </w:r>
      <w:r w:rsidR="00C4220F" w:rsidRPr="00C4220F">
        <w:rPr>
          <w:rFonts w:ascii="Times New Roman" w:hAnsi="Times New Roman"/>
          <w:noProof/>
        </w:rPr>
        <w:t xml:space="preserve">. </w:t>
      </w:r>
      <w:r w:rsidR="00950BDF" w:rsidRPr="00C4220F">
        <w:rPr>
          <w:rFonts w:ascii="Times New Roman" w:hAnsi="Times New Roman"/>
          <w:szCs w:val="24"/>
        </w:rPr>
        <w:t>Стойности за капиталови разходи за сходни нови блокове за реактор от поколение III/III+</w:t>
      </w:r>
      <w:bookmarkEnd w:id="97"/>
      <w:bookmarkEnd w:id="98"/>
      <w:bookmarkEnd w:id="99"/>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1559"/>
        <w:gridCol w:w="993"/>
        <w:gridCol w:w="1134"/>
        <w:gridCol w:w="1049"/>
        <w:gridCol w:w="2035"/>
      </w:tblGrid>
      <w:tr w:rsidR="00950BDF" w:rsidRPr="00233DB8" w:rsidTr="00C4220F">
        <w:trPr>
          <w:tblHeader/>
          <w:jc w:val="center"/>
        </w:trPr>
        <w:tc>
          <w:tcPr>
            <w:tcW w:w="1384" w:type="dxa"/>
            <w:tcBorders>
              <w:top w:val="single" w:sz="12" w:space="0" w:color="auto"/>
              <w:bottom w:val="single" w:sz="12" w:space="0" w:color="auto"/>
              <w:right w:val="single" w:sz="12" w:space="0" w:color="auto"/>
            </w:tcBorders>
            <w:shd w:val="clear" w:color="auto" w:fill="D9D9D9"/>
            <w:vAlign w:val="center"/>
          </w:tcPr>
          <w:p w:rsidR="00950BDF" w:rsidRPr="00233DB8" w:rsidRDefault="00950BDF" w:rsidP="00233DB8">
            <w:pPr>
              <w:spacing w:after="0" w:line="240" w:lineRule="auto"/>
              <w:ind w:left="-57" w:right="-57"/>
              <w:rPr>
                <w:rFonts w:ascii="Times New Roman" w:hAnsi="Times New Roman" w:cs="Times New Roman"/>
                <w:sz w:val="20"/>
                <w:szCs w:val="20"/>
              </w:rPr>
            </w:pPr>
            <w:r w:rsidRPr="00233DB8">
              <w:rPr>
                <w:rFonts w:ascii="Times New Roman" w:hAnsi="Times New Roman" w:cs="Times New Roman"/>
                <w:sz w:val="20"/>
                <w:szCs w:val="20"/>
              </w:rPr>
              <w:t>Проект</w:t>
            </w:r>
          </w:p>
        </w:tc>
        <w:tc>
          <w:tcPr>
            <w:tcW w:w="1134" w:type="dxa"/>
            <w:tcBorders>
              <w:left w:val="single" w:sz="12" w:space="0" w:color="auto"/>
              <w:bottom w:val="single" w:sz="12" w:space="0" w:color="auto"/>
            </w:tcBorders>
            <w:shd w:val="clear" w:color="auto" w:fill="D9D9D9"/>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Технология</w:t>
            </w:r>
          </w:p>
        </w:tc>
        <w:tc>
          <w:tcPr>
            <w:tcW w:w="1559" w:type="dxa"/>
            <w:tcBorders>
              <w:bottom w:val="single" w:sz="12" w:space="0" w:color="auto"/>
            </w:tcBorders>
            <w:shd w:val="clear" w:color="auto" w:fill="D9D9D9"/>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Държава</w:t>
            </w:r>
          </w:p>
        </w:tc>
        <w:tc>
          <w:tcPr>
            <w:tcW w:w="993" w:type="dxa"/>
            <w:tcBorders>
              <w:bottom w:val="single" w:sz="12" w:space="0" w:color="auto"/>
            </w:tcBorders>
            <w:shd w:val="clear" w:color="auto" w:fill="D9D9D9"/>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Начало на строит.</w:t>
            </w:r>
          </w:p>
        </w:tc>
        <w:tc>
          <w:tcPr>
            <w:tcW w:w="1134" w:type="dxa"/>
            <w:tcBorders>
              <w:bottom w:val="single" w:sz="12" w:space="0" w:color="auto"/>
            </w:tcBorders>
            <w:shd w:val="clear" w:color="auto" w:fill="D9D9D9"/>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Капацитет (MW)</w:t>
            </w:r>
          </w:p>
        </w:tc>
        <w:tc>
          <w:tcPr>
            <w:tcW w:w="1049" w:type="dxa"/>
            <w:tcBorders>
              <w:bottom w:val="single" w:sz="12" w:space="0" w:color="auto"/>
            </w:tcBorders>
            <w:shd w:val="clear" w:color="auto" w:fill="D9D9D9"/>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Начало на планова експл.</w:t>
            </w:r>
          </w:p>
        </w:tc>
        <w:tc>
          <w:tcPr>
            <w:tcW w:w="2035" w:type="dxa"/>
            <w:tcBorders>
              <w:bottom w:val="single" w:sz="12" w:space="0" w:color="auto"/>
            </w:tcBorders>
            <w:shd w:val="clear" w:color="auto" w:fill="D9D9D9"/>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Капиталови разходи (хил. евро/kW към 2013 г.)</w:t>
            </w:r>
          </w:p>
        </w:tc>
      </w:tr>
      <w:tr w:rsidR="00950BDF" w:rsidRPr="00233DB8" w:rsidTr="00C4220F">
        <w:trPr>
          <w:jc w:val="center"/>
        </w:trPr>
        <w:tc>
          <w:tcPr>
            <w:tcW w:w="1384" w:type="dxa"/>
            <w:tcBorders>
              <w:top w:val="single" w:sz="12" w:space="0" w:color="auto"/>
              <w:bottom w:val="single" w:sz="4" w:space="0" w:color="auto"/>
              <w:right w:val="single" w:sz="12" w:space="0" w:color="auto"/>
            </w:tcBorders>
            <w:shd w:val="clear" w:color="auto" w:fill="F2F2F2"/>
            <w:vAlign w:val="center"/>
          </w:tcPr>
          <w:p w:rsidR="00950BDF" w:rsidRPr="00233DB8" w:rsidRDefault="00950BDF" w:rsidP="00233DB8">
            <w:pPr>
              <w:spacing w:after="0" w:line="240" w:lineRule="auto"/>
              <w:ind w:left="-57" w:right="-57"/>
              <w:rPr>
                <w:rFonts w:ascii="Times New Roman" w:hAnsi="Times New Roman" w:cs="Times New Roman"/>
                <w:b/>
                <w:sz w:val="20"/>
                <w:szCs w:val="20"/>
              </w:rPr>
            </w:pPr>
            <w:r w:rsidRPr="00233DB8">
              <w:rPr>
                <w:rFonts w:ascii="Times New Roman" w:hAnsi="Times New Roman" w:cs="Times New Roman"/>
                <w:b/>
                <w:sz w:val="20"/>
                <w:szCs w:val="20"/>
              </w:rPr>
              <w:t>Европа</w:t>
            </w:r>
          </w:p>
        </w:tc>
        <w:tc>
          <w:tcPr>
            <w:tcW w:w="1134" w:type="dxa"/>
            <w:tcBorders>
              <w:top w:val="single" w:sz="12" w:space="0" w:color="auto"/>
              <w:left w:val="single" w:sz="12" w:space="0" w:color="auto"/>
              <w:bottom w:val="single" w:sz="4" w:space="0" w:color="auto"/>
            </w:tcBorders>
            <w:shd w:val="clear" w:color="auto" w:fill="F2F2F2"/>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p>
        </w:tc>
        <w:tc>
          <w:tcPr>
            <w:tcW w:w="1559" w:type="dxa"/>
            <w:tcBorders>
              <w:top w:val="single" w:sz="12" w:space="0" w:color="auto"/>
              <w:bottom w:val="single" w:sz="4" w:space="0" w:color="auto"/>
            </w:tcBorders>
            <w:shd w:val="clear" w:color="auto" w:fill="F2F2F2"/>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p>
        </w:tc>
        <w:tc>
          <w:tcPr>
            <w:tcW w:w="993" w:type="dxa"/>
            <w:tcBorders>
              <w:top w:val="single" w:sz="12" w:space="0" w:color="auto"/>
              <w:bottom w:val="single" w:sz="4" w:space="0" w:color="auto"/>
            </w:tcBorders>
            <w:shd w:val="clear" w:color="auto" w:fill="F2F2F2"/>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p>
        </w:tc>
        <w:tc>
          <w:tcPr>
            <w:tcW w:w="1134" w:type="dxa"/>
            <w:tcBorders>
              <w:top w:val="single" w:sz="12" w:space="0" w:color="auto"/>
              <w:bottom w:val="single" w:sz="4" w:space="0" w:color="auto"/>
            </w:tcBorders>
            <w:shd w:val="clear" w:color="auto" w:fill="F2F2F2"/>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p>
        </w:tc>
        <w:tc>
          <w:tcPr>
            <w:tcW w:w="1049" w:type="dxa"/>
            <w:tcBorders>
              <w:top w:val="single" w:sz="12" w:space="0" w:color="auto"/>
              <w:bottom w:val="single" w:sz="4" w:space="0" w:color="auto"/>
            </w:tcBorders>
            <w:shd w:val="clear" w:color="auto" w:fill="F2F2F2"/>
            <w:vAlign w:val="center"/>
          </w:tcPr>
          <w:p w:rsidR="00950BDF" w:rsidRPr="00233DB8" w:rsidRDefault="00950BDF" w:rsidP="00233DB8">
            <w:pPr>
              <w:spacing w:after="0" w:line="240" w:lineRule="auto"/>
              <w:ind w:left="-57" w:right="-57"/>
              <w:rPr>
                <w:rFonts w:ascii="Times New Roman" w:hAnsi="Times New Roman" w:cs="Times New Roman"/>
                <w:b/>
                <w:sz w:val="20"/>
                <w:szCs w:val="20"/>
              </w:rPr>
            </w:pPr>
          </w:p>
        </w:tc>
        <w:tc>
          <w:tcPr>
            <w:tcW w:w="2035" w:type="dxa"/>
            <w:tcBorders>
              <w:top w:val="single" w:sz="12" w:space="0" w:color="auto"/>
              <w:bottom w:val="single" w:sz="4" w:space="0" w:color="auto"/>
            </w:tcBorders>
            <w:shd w:val="clear" w:color="auto" w:fill="F2F2F2"/>
            <w:vAlign w:val="center"/>
          </w:tcPr>
          <w:p w:rsidR="00950BDF" w:rsidRPr="00233DB8" w:rsidRDefault="00950BDF" w:rsidP="00233DB8">
            <w:pPr>
              <w:spacing w:after="0" w:line="240" w:lineRule="auto"/>
              <w:ind w:left="-57" w:right="-57"/>
              <w:rPr>
                <w:rFonts w:ascii="Times New Roman" w:hAnsi="Times New Roman" w:cs="Times New Roman"/>
                <w:sz w:val="20"/>
                <w:szCs w:val="20"/>
              </w:rPr>
            </w:pPr>
          </w:p>
        </w:tc>
      </w:tr>
      <w:tr w:rsidR="00950BDF" w:rsidRPr="00233DB8" w:rsidTr="00C4220F">
        <w:trPr>
          <w:jc w:val="center"/>
        </w:trPr>
        <w:tc>
          <w:tcPr>
            <w:tcW w:w="1384" w:type="dxa"/>
            <w:tcBorders>
              <w:top w:val="single" w:sz="4" w:space="0" w:color="auto"/>
              <w:right w:val="single" w:sz="12" w:space="0" w:color="auto"/>
            </w:tcBorders>
            <w:shd w:val="clear" w:color="auto" w:fill="auto"/>
            <w:vAlign w:val="center"/>
          </w:tcPr>
          <w:p w:rsidR="00950BDF" w:rsidRPr="00233DB8" w:rsidRDefault="00950BDF" w:rsidP="00233DB8">
            <w:pPr>
              <w:spacing w:after="0" w:line="240" w:lineRule="auto"/>
              <w:ind w:left="-57" w:right="-57"/>
              <w:rPr>
                <w:rFonts w:ascii="Times New Roman" w:hAnsi="Times New Roman" w:cs="Times New Roman"/>
                <w:sz w:val="20"/>
                <w:szCs w:val="20"/>
              </w:rPr>
            </w:pPr>
            <w:r w:rsidRPr="00233DB8">
              <w:rPr>
                <w:rFonts w:ascii="Times New Roman" w:hAnsi="Times New Roman" w:cs="Times New Roman"/>
                <w:sz w:val="20"/>
                <w:szCs w:val="20"/>
              </w:rPr>
              <w:t>Paks II</w:t>
            </w:r>
          </w:p>
        </w:tc>
        <w:tc>
          <w:tcPr>
            <w:tcW w:w="1134" w:type="dxa"/>
            <w:tcBorders>
              <w:top w:val="single" w:sz="4" w:space="0" w:color="auto"/>
              <w:left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VVER-1200</w:t>
            </w:r>
          </w:p>
        </w:tc>
        <w:tc>
          <w:tcPr>
            <w:tcW w:w="1559" w:type="dxa"/>
            <w:tcBorders>
              <w:top w:val="single" w:sz="4"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Унгария</w:t>
            </w:r>
          </w:p>
        </w:tc>
        <w:tc>
          <w:tcPr>
            <w:tcW w:w="993" w:type="dxa"/>
            <w:tcBorders>
              <w:top w:val="single" w:sz="4"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2015</w:t>
            </w:r>
          </w:p>
        </w:tc>
        <w:tc>
          <w:tcPr>
            <w:tcW w:w="1134" w:type="dxa"/>
            <w:tcBorders>
              <w:top w:val="single" w:sz="4"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2400</w:t>
            </w:r>
          </w:p>
        </w:tc>
        <w:tc>
          <w:tcPr>
            <w:tcW w:w="1049" w:type="dxa"/>
            <w:tcBorders>
              <w:top w:val="single" w:sz="4"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2025-2026</w:t>
            </w:r>
          </w:p>
        </w:tc>
        <w:tc>
          <w:tcPr>
            <w:tcW w:w="2035" w:type="dxa"/>
            <w:tcBorders>
              <w:top w:val="single" w:sz="4"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lang w:val="en-US"/>
              </w:rPr>
            </w:pPr>
            <w:r w:rsidRPr="00233DB8">
              <w:rPr>
                <w:rFonts w:ascii="Times New Roman" w:hAnsi="Times New Roman" w:cs="Times New Roman"/>
                <w:sz w:val="20"/>
                <w:szCs w:val="20"/>
              </w:rPr>
              <w:t>4</w:t>
            </w:r>
            <w:r w:rsidR="00C4220F" w:rsidRPr="00233DB8">
              <w:rPr>
                <w:rFonts w:ascii="Times New Roman" w:hAnsi="Times New Roman" w:cs="Times New Roman"/>
                <w:sz w:val="20"/>
                <w:szCs w:val="20"/>
              </w:rPr>
              <w:t>.</w:t>
            </w:r>
            <w:r w:rsidRPr="00233DB8">
              <w:rPr>
                <w:rFonts w:ascii="Times New Roman" w:hAnsi="Times New Roman" w:cs="Times New Roman"/>
                <w:sz w:val="20"/>
                <w:szCs w:val="20"/>
              </w:rPr>
              <w:t>6</w:t>
            </w:r>
          </w:p>
        </w:tc>
      </w:tr>
      <w:tr w:rsidR="00950BDF" w:rsidRPr="00233DB8" w:rsidTr="00C4220F">
        <w:trPr>
          <w:jc w:val="center"/>
        </w:trPr>
        <w:tc>
          <w:tcPr>
            <w:tcW w:w="1384" w:type="dxa"/>
            <w:tcBorders>
              <w:right w:val="single" w:sz="12" w:space="0" w:color="auto"/>
            </w:tcBorders>
            <w:shd w:val="clear" w:color="auto" w:fill="auto"/>
            <w:vAlign w:val="center"/>
          </w:tcPr>
          <w:p w:rsidR="00950BDF" w:rsidRPr="00233DB8" w:rsidRDefault="00950BDF" w:rsidP="00233DB8">
            <w:pPr>
              <w:spacing w:after="0" w:line="240" w:lineRule="auto"/>
              <w:ind w:left="-57" w:right="-57"/>
              <w:rPr>
                <w:rFonts w:ascii="Times New Roman" w:hAnsi="Times New Roman" w:cs="Times New Roman"/>
                <w:sz w:val="20"/>
                <w:szCs w:val="20"/>
              </w:rPr>
            </w:pPr>
            <w:r w:rsidRPr="00233DB8">
              <w:rPr>
                <w:rFonts w:ascii="Times New Roman" w:hAnsi="Times New Roman" w:cs="Times New Roman"/>
                <w:sz w:val="20"/>
                <w:szCs w:val="20"/>
              </w:rPr>
              <w:t>Olkiluoto</w:t>
            </w:r>
          </w:p>
        </w:tc>
        <w:tc>
          <w:tcPr>
            <w:tcW w:w="1134" w:type="dxa"/>
            <w:tcBorders>
              <w:left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EPR</w:t>
            </w:r>
          </w:p>
        </w:tc>
        <w:tc>
          <w:tcPr>
            <w:tcW w:w="1559"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Финландия</w:t>
            </w:r>
          </w:p>
        </w:tc>
        <w:tc>
          <w:tcPr>
            <w:tcW w:w="993"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2012</w:t>
            </w:r>
          </w:p>
        </w:tc>
        <w:tc>
          <w:tcPr>
            <w:tcW w:w="1134"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1600</w:t>
            </w:r>
          </w:p>
        </w:tc>
        <w:tc>
          <w:tcPr>
            <w:tcW w:w="1049"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2018</w:t>
            </w:r>
          </w:p>
        </w:tc>
        <w:tc>
          <w:tcPr>
            <w:tcW w:w="2035"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4</w:t>
            </w:r>
            <w:r w:rsidR="00C4220F" w:rsidRPr="00233DB8">
              <w:rPr>
                <w:rFonts w:ascii="Times New Roman" w:hAnsi="Times New Roman" w:cs="Times New Roman"/>
                <w:sz w:val="20"/>
                <w:szCs w:val="20"/>
              </w:rPr>
              <w:t>.</w:t>
            </w:r>
            <w:r w:rsidRPr="00233DB8">
              <w:rPr>
                <w:rFonts w:ascii="Times New Roman" w:hAnsi="Times New Roman" w:cs="Times New Roman"/>
                <w:sz w:val="20"/>
                <w:szCs w:val="20"/>
              </w:rPr>
              <w:t>9</w:t>
            </w:r>
          </w:p>
        </w:tc>
      </w:tr>
      <w:tr w:rsidR="00950BDF" w:rsidRPr="00233DB8" w:rsidTr="00C4220F">
        <w:trPr>
          <w:jc w:val="center"/>
        </w:trPr>
        <w:tc>
          <w:tcPr>
            <w:tcW w:w="1384" w:type="dxa"/>
            <w:tcBorders>
              <w:right w:val="single" w:sz="12" w:space="0" w:color="auto"/>
            </w:tcBorders>
            <w:shd w:val="clear" w:color="auto" w:fill="auto"/>
            <w:vAlign w:val="center"/>
          </w:tcPr>
          <w:p w:rsidR="00950BDF" w:rsidRPr="00233DB8" w:rsidRDefault="00950BDF" w:rsidP="00233DB8">
            <w:pPr>
              <w:spacing w:after="0" w:line="240" w:lineRule="auto"/>
              <w:ind w:left="-57" w:right="-57"/>
              <w:rPr>
                <w:rFonts w:ascii="Times New Roman" w:hAnsi="Times New Roman" w:cs="Times New Roman"/>
                <w:sz w:val="20"/>
                <w:szCs w:val="20"/>
              </w:rPr>
            </w:pPr>
            <w:r w:rsidRPr="00233DB8">
              <w:rPr>
                <w:rFonts w:ascii="Times New Roman" w:hAnsi="Times New Roman" w:cs="Times New Roman"/>
                <w:sz w:val="20"/>
                <w:szCs w:val="20"/>
              </w:rPr>
              <w:t>HinkleyPoint C</w:t>
            </w:r>
          </w:p>
        </w:tc>
        <w:tc>
          <w:tcPr>
            <w:tcW w:w="1134" w:type="dxa"/>
            <w:tcBorders>
              <w:left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EPR</w:t>
            </w:r>
          </w:p>
        </w:tc>
        <w:tc>
          <w:tcPr>
            <w:tcW w:w="1559"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Великобритания</w:t>
            </w:r>
          </w:p>
        </w:tc>
        <w:tc>
          <w:tcPr>
            <w:tcW w:w="993"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2014</w:t>
            </w:r>
          </w:p>
        </w:tc>
        <w:tc>
          <w:tcPr>
            <w:tcW w:w="1134"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3200</w:t>
            </w:r>
          </w:p>
        </w:tc>
        <w:tc>
          <w:tcPr>
            <w:tcW w:w="1049"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2023-2025</w:t>
            </w:r>
          </w:p>
        </w:tc>
        <w:tc>
          <w:tcPr>
            <w:tcW w:w="2035"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8</w:t>
            </w:r>
            <w:r w:rsidR="00C4220F" w:rsidRPr="00233DB8">
              <w:rPr>
                <w:rFonts w:ascii="Times New Roman" w:hAnsi="Times New Roman" w:cs="Times New Roman"/>
                <w:sz w:val="20"/>
                <w:szCs w:val="20"/>
              </w:rPr>
              <w:t>.</w:t>
            </w:r>
            <w:r w:rsidRPr="00233DB8">
              <w:rPr>
                <w:rFonts w:ascii="Times New Roman" w:hAnsi="Times New Roman" w:cs="Times New Roman"/>
                <w:sz w:val="20"/>
                <w:szCs w:val="20"/>
              </w:rPr>
              <w:t>6</w:t>
            </w:r>
          </w:p>
        </w:tc>
      </w:tr>
      <w:tr w:rsidR="00950BDF" w:rsidRPr="00233DB8" w:rsidTr="00C4220F">
        <w:trPr>
          <w:jc w:val="center"/>
        </w:trPr>
        <w:tc>
          <w:tcPr>
            <w:tcW w:w="1384" w:type="dxa"/>
            <w:tcBorders>
              <w:right w:val="single" w:sz="12" w:space="0" w:color="auto"/>
            </w:tcBorders>
            <w:shd w:val="clear" w:color="auto" w:fill="auto"/>
            <w:vAlign w:val="center"/>
          </w:tcPr>
          <w:p w:rsidR="00950BDF" w:rsidRPr="00233DB8" w:rsidRDefault="00950BDF" w:rsidP="00233DB8">
            <w:pPr>
              <w:spacing w:after="0" w:line="240" w:lineRule="auto"/>
              <w:ind w:left="-57" w:right="-57"/>
              <w:rPr>
                <w:rFonts w:ascii="Times New Roman" w:hAnsi="Times New Roman" w:cs="Times New Roman"/>
                <w:sz w:val="20"/>
                <w:szCs w:val="20"/>
              </w:rPr>
            </w:pPr>
            <w:r w:rsidRPr="00233DB8">
              <w:rPr>
                <w:rFonts w:ascii="Times New Roman" w:hAnsi="Times New Roman" w:cs="Times New Roman"/>
                <w:sz w:val="20"/>
                <w:szCs w:val="20"/>
              </w:rPr>
              <w:t>Flamanville</w:t>
            </w:r>
          </w:p>
        </w:tc>
        <w:tc>
          <w:tcPr>
            <w:tcW w:w="1134" w:type="dxa"/>
            <w:tcBorders>
              <w:left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EPR</w:t>
            </w:r>
          </w:p>
        </w:tc>
        <w:tc>
          <w:tcPr>
            <w:tcW w:w="1559"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Франция</w:t>
            </w:r>
          </w:p>
        </w:tc>
        <w:tc>
          <w:tcPr>
            <w:tcW w:w="993"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2015</w:t>
            </w:r>
          </w:p>
        </w:tc>
        <w:tc>
          <w:tcPr>
            <w:tcW w:w="1134"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1630</w:t>
            </w:r>
          </w:p>
        </w:tc>
        <w:tc>
          <w:tcPr>
            <w:tcW w:w="1049"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н.д.</w:t>
            </w:r>
          </w:p>
        </w:tc>
        <w:tc>
          <w:tcPr>
            <w:tcW w:w="2035"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5</w:t>
            </w:r>
            <w:r w:rsidR="00C4220F" w:rsidRPr="00233DB8">
              <w:rPr>
                <w:rFonts w:ascii="Times New Roman" w:hAnsi="Times New Roman" w:cs="Times New Roman"/>
                <w:sz w:val="20"/>
                <w:szCs w:val="20"/>
              </w:rPr>
              <w:t>.</w:t>
            </w:r>
            <w:r w:rsidRPr="00233DB8">
              <w:rPr>
                <w:rFonts w:ascii="Times New Roman" w:hAnsi="Times New Roman" w:cs="Times New Roman"/>
                <w:sz w:val="20"/>
                <w:szCs w:val="20"/>
              </w:rPr>
              <w:t>7</w:t>
            </w:r>
          </w:p>
        </w:tc>
      </w:tr>
      <w:tr w:rsidR="00950BDF" w:rsidRPr="00233DB8" w:rsidTr="00C4220F">
        <w:trPr>
          <w:jc w:val="center"/>
        </w:trPr>
        <w:tc>
          <w:tcPr>
            <w:tcW w:w="1384" w:type="dxa"/>
            <w:tcBorders>
              <w:right w:val="single" w:sz="12" w:space="0" w:color="auto"/>
            </w:tcBorders>
            <w:shd w:val="clear" w:color="auto" w:fill="auto"/>
            <w:vAlign w:val="center"/>
          </w:tcPr>
          <w:p w:rsidR="00950BDF" w:rsidRPr="00233DB8" w:rsidRDefault="00950BDF" w:rsidP="00233DB8">
            <w:pPr>
              <w:spacing w:after="0" w:line="240" w:lineRule="auto"/>
              <w:ind w:left="-57" w:right="-57"/>
              <w:rPr>
                <w:rFonts w:ascii="Times New Roman" w:hAnsi="Times New Roman" w:cs="Times New Roman"/>
                <w:sz w:val="20"/>
                <w:szCs w:val="20"/>
              </w:rPr>
            </w:pPr>
            <w:r w:rsidRPr="00233DB8">
              <w:rPr>
                <w:rFonts w:ascii="Times New Roman" w:hAnsi="Times New Roman" w:cs="Times New Roman"/>
                <w:sz w:val="20"/>
                <w:szCs w:val="20"/>
              </w:rPr>
              <w:t>Visaginas</w:t>
            </w:r>
          </w:p>
        </w:tc>
        <w:tc>
          <w:tcPr>
            <w:tcW w:w="1134" w:type="dxa"/>
            <w:tcBorders>
              <w:left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ABWR</w:t>
            </w:r>
          </w:p>
        </w:tc>
        <w:tc>
          <w:tcPr>
            <w:tcW w:w="1559"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Литва</w:t>
            </w:r>
          </w:p>
        </w:tc>
        <w:tc>
          <w:tcPr>
            <w:tcW w:w="993"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2012</w:t>
            </w:r>
          </w:p>
        </w:tc>
        <w:tc>
          <w:tcPr>
            <w:tcW w:w="1134"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1350</w:t>
            </w:r>
          </w:p>
        </w:tc>
        <w:tc>
          <w:tcPr>
            <w:tcW w:w="1049"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н.д.</w:t>
            </w:r>
          </w:p>
        </w:tc>
        <w:tc>
          <w:tcPr>
            <w:tcW w:w="2035"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3</w:t>
            </w:r>
            <w:r w:rsidR="00C4220F" w:rsidRPr="00233DB8">
              <w:rPr>
                <w:rFonts w:ascii="Times New Roman" w:hAnsi="Times New Roman" w:cs="Times New Roman"/>
                <w:sz w:val="20"/>
                <w:szCs w:val="20"/>
              </w:rPr>
              <w:t>.</w:t>
            </w:r>
            <w:r w:rsidRPr="00233DB8">
              <w:rPr>
                <w:rFonts w:ascii="Times New Roman" w:hAnsi="Times New Roman" w:cs="Times New Roman"/>
                <w:sz w:val="20"/>
                <w:szCs w:val="20"/>
              </w:rPr>
              <w:t>5</w:t>
            </w:r>
          </w:p>
        </w:tc>
      </w:tr>
      <w:tr w:rsidR="00950BDF" w:rsidRPr="00233DB8" w:rsidTr="00C4220F">
        <w:trPr>
          <w:jc w:val="center"/>
        </w:trPr>
        <w:tc>
          <w:tcPr>
            <w:tcW w:w="1384" w:type="dxa"/>
            <w:tcBorders>
              <w:right w:val="single" w:sz="12" w:space="0" w:color="auto"/>
            </w:tcBorders>
            <w:shd w:val="clear" w:color="auto" w:fill="auto"/>
            <w:vAlign w:val="center"/>
          </w:tcPr>
          <w:p w:rsidR="00950BDF" w:rsidRPr="00233DB8" w:rsidRDefault="00950BDF" w:rsidP="00233DB8">
            <w:pPr>
              <w:spacing w:after="0" w:line="240" w:lineRule="auto"/>
              <w:ind w:left="-57" w:right="-57"/>
              <w:rPr>
                <w:rFonts w:ascii="Times New Roman" w:hAnsi="Times New Roman" w:cs="Times New Roman"/>
                <w:sz w:val="20"/>
                <w:szCs w:val="20"/>
              </w:rPr>
            </w:pPr>
            <w:r w:rsidRPr="00233DB8">
              <w:rPr>
                <w:rFonts w:ascii="Times New Roman" w:hAnsi="Times New Roman" w:cs="Times New Roman"/>
                <w:sz w:val="20"/>
                <w:szCs w:val="20"/>
              </w:rPr>
              <w:t>BelarusNPP</w:t>
            </w:r>
          </w:p>
        </w:tc>
        <w:tc>
          <w:tcPr>
            <w:tcW w:w="1134" w:type="dxa"/>
            <w:tcBorders>
              <w:left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VVER-1200</w:t>
            </w:r>
          </w:p>
        </w:tc>
        <w:tc>
          <w:tcPr>
            <w:tcW w:w="1559"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Беларус</w:t>
            </w:r>
          </w:p>
        </w:tc>
        <w:tc>
          <w:tcPr>
            <w:tcW w:w="993"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2014</w:t>
            </w:r>
          </w:p>
        </w:tc>
        <w:tc>
          <w:tcPr>
            <w:tcW w:w="1134"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2400</w:t>
            </w:r>
          </w:p>
        </w:tc>
        <w:tc>
          <w:tcPr>
            <w:tcW w:w="1049"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2018</w:t>
            </w:r>
          </w:p>
        </w:tc>
        <w:tc>
          <w:tcPr>
            <w:tcW w:w="2035"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3</w:t>
            </w:r>
            <w:r w:rsidR="00C4220F" w:rsidRPr="00233DB8">
              <w:rPr>
                <w:rFonts w:ascii="Times New Roman" w:hAnsi="Times New Roman" w:cs="Times New Roman"/>
                <w:sz w:val="20"/>
                <w:szCs w:val="20"/>
              </w:rPr>
              <w:t>.</w:t>
            </w:r>
            <w:r w:rsidRPr="00233DB8">
              <w:rPr>
                <w:rFonts w:ascii="Times New Roman" w:hAnsi="Times New Roman" w:cs="Times New Roman"/>
                <w:sz w:val="20"/>
                <w:szCs w:val="20"/>
              </w:rPr>
              <w:t>1</w:t>
            </w:r>
          </w:p>
        </w:tc>
      </w:tr>
      <w:tr w:rsidR="00950BDF" w:rsidRPr="00233DB8" w:rsidTr="00C4220F">
        <w:trPr>
          <w:jc w:val="center"/>
        </w:trPr>
        <w:tc>
          <w:tcPr>
            <w:tcW w:w="1384" w:type="dxa"/>
            <w:tcBorders>
              <w:bottom w:val="single" w:sz="12" w:space="0" w:color="auto"/>
              <w:right w:val="single" w:sz="12" w:space="0" w:color="auto"/>
            </w:tcBorders>
            <w:shd w:val="clear" w:color="auto" w:fill="auto"/>
            <w:vAlign w:val="center"/>
          </w:tcPr>
          <w:p w:rsidR="00950BDF" w:rsidRPr="00233DB8" w:rsidRDefault="00950BDF" w:rsidP="00233DB8">
            <w:pPr>
              <w:spacing w:after="0" w:line="240" w:lineRule="auto"/>
              <w:ind w:left="-57" w:right="-57"/>
              <w:rPr>
                <w:rFonts w:ascii="Times New Roman" w:hAnsi="Times New Roman" w:cs="Times New Roman"/>
                <w:sz w:val="20"/>
                <w:szCs w:val="20"/>
              </w:rPr>
            </w:pPr>
            <w:r w:rsidRPr="00233DB8">
              <w:rPr>
                <w:rFonts w:ascii="Times New Roman" w:hAnsi="Times New Roman" w:cs="Times New Roman"/>
                <w:sz w:val="20"/>
                <w:szCs w:val="20"/>
              </w:rPr>
              <w:t>Hanhikivi</w:t>
            </w:r>
          </w:p>
        </w:tc>
        <w:tc>
          <w:tcPr>
            <w:tcW w:w="1134" w:type="dxa"/>
            <w:tcBorders>
              <w:left w:val="single" w:sz="12" w:space="0" w:color="auto"/>
              <w:bottom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VVER-1200</w:t>
            </w:r>
          </w:p>
        </w:tc>
        <w:tc>
          <w:tcPr>
            <w:tcW w:w="1559" w:type="dxa"/>
            <w:tcBorders>
              <w:bottom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Финландия</w:t>
            </w:r>
          </w:p>
        </w:tc>
        <w:tc>
          <w:tcPr>
            <w:tcW w:w="993" w:type="dxa"/>
            <w:tcBorders>
              <w:bottom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2014</w:t>
            </w:r>
          </w:p>
        </w:tc>
        <w:tc>
          <w:tcPr>
            <w:tcW w:w="1134" w:type="dxa"/>
            <w:tcBorders>
              <w:bottom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1200</w:t>
            </w:r>
          </w:p>
        </w:tc>
        <w:tc>
          <w:tcPr>
            <w:tcW w:w="1049" w:type="dxa"/>
            <w:tcBorders>
              <w:bottom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2024</w:t>
            </w:r>
          </w:p>
        </w:tc>
        <w:tc>
          <w:tcPr>
            <w:tcW w:w="2035" w:type="dxa"/>
            <w:tcBorders>
              <w:bottom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4</w:t>
            </w:r>
            <w:r w:rsidR="00C4220F" w:rsidRPr="00233DB8">
              <w:rPr>
                <w:rFonts w:ascii="Times New Roman" w:hAnsi="Times New Roman" w:cs="Times New Roman"/>
                <w:sz w:val="20"/>
                <w:szCs w:val="20"/>
              </w:rPr>
              <w:t>.</w:t>
            </w:r>
            <w:r w:rsidRPr="00233DB8">
              <w:rPr>
                <w:rFonts w:ascii="Times New Roman" w:hAnsi="Times New Roman" w:cs="Times New Roman"/>
                <w:sz w:val="20"/>
                <w:szCs w:val="20"/>
              </w:rPr>
              <w:t>6</w:t>
            </w:r>
          </w:p>
        </w:tc>
      </w:tr>
      <w:tr w:rsidR="00950BDF" w:rsidRPr="00233DB8" w:rsidTr="00C4220F">
        <w:trPr>
          <w:jc w:val="center"/>
        </w:trPr>
        <w:tc>
          <w:tcPr>
            <w:tcW w:w="1384" w:type="dxa"/>
            <w:tcBorders>
              <w:top w:val="single" w:sz="12" w:space="0" w:color="auto"/>
              <w:bottom w:val="single" w:sz="4" w:space="0" w:color="auto"/>
              <w:right w:val="single" w:sz="12" w:space="0" w:color="auto"/>
            </w:tcBorders>
            <w:shd w:val="clear" w:color="auto" w:fill="F2F2F2"/>
            <w:vAlign w:val="center"/>
          </w:tcPr>
          <w:p w:rsidR="00950BDF" w:rsidRPr="00233DB8" w:rsidRDefault="00950BDF" w:rsidP="00233DB8">
            <w:pPr>
              <w:spacing w:after="0" w:line="240" w:lineRule="auto"/>
              <w:ind w:left="-57" w:right="-57"/>
              <w:rPr>
                <w:rFonts w:ascii="Times New Roman" w:hAnsi="Times New Roman" w:cs="Times New Roman"/>
                <w:b/>
                <w:sz w:val="20"/>
                <w:szCs w:val="20"/>
              </w:rPr>
            </w:pPr>
            <w:r w:rsidRPr="00233DB8">
              <w:rPr>
                <w:rFonts w:ascii="Times New Roman" w:hAnsi="Times New Roman" w:cs="Times New Roman"/>
                <w:b/>
                <w:sz w:val="20"/>
                <w:szCs w:val="20"/>
              </w:rPr>
              <w:t>САЩ</w:t>
            </w:r>
          </w:p>
        </w:tc>
        <w:tc>
          <w:tcPr>
            <w:tcW w:w="1134" w:type="dxa"/>
            <w:tcBorders>
              <w:top w:val="single" w:sz="12" w:space="0" w:color="auto"/>
              <w:left w:val="single" w:sz="12" w:space="0" w:color="auto"/>
              <w:bottom w:val="single" w:sz="4" w:space="0" w:color="auto"/>
            </w:tcBorders>
            <w:shd w:val="clear" w:color="auto" w:fill="F2F2F2"/>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p>
        </w:tc>
        <w:tc>
          <w:tcPr>
            <w:tcW w:w="1559" w:type="dxa"/>
            <w:tcBorders>
              <w:top w:val="single" w:sz="12" w:space="0" w:color="auto"/>
              <w:bottom w:val="single" w:sz="4" w:space="0" w:color="auto"/>
            </w:tcBorders>
            <w:shd w:val="clear" w:color="auto" w:fill="F2F2F2"/>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p>
        </w:tc>
        <w:tc>
          <w:tcPr>
            <w:tcW w:w="993" w:type="dxa"/>
            <w:tcBorders>
              <w:top w:val="single" w:sz="12" w:space="0" w:color="auto"/>
              <w:bottom w:val="single" w:sz="4" w:space="0" w:color="auto"/>
            </w:tcBorders>
            <w:shd w:val="clear" w:color="auto" w:fill="F2F2F2"/>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p>
        </w:tc>
        <w:tc>
          <w:tcPr>
            <w:tcW w:w="1134" w:type="dxa"/>
            <w:tcBorders>
              <w:top w:val="single" w:sz="12" w:space="0" w:color="auto"/>
              <w:bottom w:val="single" w:sz="4" w:space="0" w:color="auto"/>
            </w:tcBorders>
            <w:shd w:val="clear" w:color="auto" w:fill="F2F2F2"/>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p>
        </w:tc>
        <w:tc>
          <w:tcPr>
            <w:tcW w:w="1049" w:type="dxa"/>
            <w:tcBorders>
              <w:top w:val="single" w:sz="12" w:space="0" w:color="auto"/>
              <w:bottom w:val="single" w:sz="4" w:space="0" w:color="auto"/>
            </w:tcBorders>
            <w:shd w:val="clear" w:color="auto" w:fill="F2F2F2"/>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p>
        </w:tc>
        <w:tc>
          <w:tcPr>
            <w:tcW w:w="2035" w:type="dxa"/>
            <w:tcBorders>
              <w:top w:val="single" w:sz="12" w:space="0" w:color="auto"/>
              <w:bottom w:val="single" w:sz="4" w:space="0" w:color="auto"/>
            </w:tcBorders>
            <w:shd w:val="clear" w:color="auto" w:fill="F2F2F2"/>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p>
        </w:tc>
      </w:tr>
      <w:tr w:rsidR="00950BDF" w:rsidRPr="00233DB8" w:rsidTr="00C4220F">
        <w:trPr>
          <w:jc w:val="center"/>
        </w:trPr>
        <w:tc>
          <w:tcPr>
            <w:tcW w:w="1384" w:type="dxa"/>
            <w:tcBorders>
              <w:top w:val="single" w:sz="4" w:space="0" w:color="auto"/>
              <w:right w:val="single" w:sz="12" w:space="0" w:color="auto"/>
            </w:tcBorders>
            <w:shd w:val="clear" w:color="auto" w:fill="auto"/>
            <w:vAlign w:val="center"/>
          </w:tcPr>
          <w:p w:rsidR="00950BDF" w:rsidRPr="00233DB8" w:rsidRDefault="00950BDF" w:rsidP="00233DB8">
            <w:pPr>
              <w:spacing w:after="0" w:line="240" w:lineRule="auto"/>
              <w:ind w:left="-57" w:right="-57"/>
              <w:rPr>
                <w:rFonts w:ascii="Times New Roman" w:hAnsi="Times New Roman" w:cs="Times New Roman"/>
                <w:sz w:val="20"/>
                <w:szCs w:val="20"/>
              </w:rPr>
            </w:pPr>
            <w:r w:rsidRPr="00233DB8">
              <w:rPr>
                <w:rFonts w:ascii="Times New Roman" w:hAnsi="Times New Roman" w:cs="Times New Roman"/>
                <w:sz w:val="20"/>
                <w:szCs w:val="20"/>
              </w:rPr>
              <w:t>VCSummer</w:t>
            </w:r>
          </w:p>
        </w:tc>
        <w:tc>
          <w:tcPr>
            <w:tcW w:w="1134" w:type="dxa"/>
            <w:tcBorders>
              <w:top w:val="single" w:sz="4" w:space="0" w:color="auto"/>
              <w:left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AP 1000</w:t>
            </w:r>
          </w:p>
        </w:tc>
        <w:tc>
          <w:tcPr>
            <w:tcW w:w="1559" w:type="dxa"/>
            <w:tcBorders>
              <w:top w:val="single" w:sz="4"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САЩ</w:t>
            </w:r>
          </w:p>
        </w:tc>
        <w:tc>
          <w:tcPr>
            <w:tcW w:w="993" w:type="dxa"/>
            <w:tcBorders>
              <w:top w:val="single" w:sz="4"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2014</w:t>
            </w:r>
          </w:p>
        </w:tc>
        <w:tc>
          <w:tcPr>
            <w:tcW w:w="1134" w:type="dxa"/>
            <w:tcBorders>
              <w:top w:val="single" w:sz="4"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2400</w:t>
            </w:r>
          </w:p>
        </w:tc>
        <w:tc>
          <w:tcPr>
            <w:tcW w:w="1049" w:type="dxa"/>
            <w:tcBorders>
              <w:top w:val="single" w:sz="4"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2017</w:t>
            </w:r>
          </w:p>
        </w:tc>
        <w:tc>
          <w:tcPr>
            <w:tcW w:w="2035" w:type="dxa"/>
            <w:tcBorders>
              <w:top w:val="single" w:sz="4"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3</w:t>
            </w:r>
            <w:r w:rsidR="00C4220F" w:rsidRPr="00233DB8">
              <w:rPr>
                <w:rFonts w:ascii="Times New Roman" w:hAnsi="Times New Roman" w:cs="Times New Roman"/>
                <w:sz w:val="20"/>
                <w:szCs w:val="20"/>
              </w:rPr>
              <w:t>.</w:t>
            </w:r>
            <w:r w:rsidRPr="00233DB8">
              <w:rPr>
                <w:rFonts w:ascii="Times New Roman" w:hAnsi="Times New Roman" w:cs="Times New Roman"/>
                <w:sz w:val="20"/>
                <w:szCs w:val="20"/>
              </w:rPr>
              <w:t>5</w:t>
            </w:r>
          </w:p>
        </w:tc>
      </w:tr>
      <w:tr w:rsidR="00950BDF" w:rsidRPr="00233DB8" w:rsidTr="00C4220F">
        <w:trPr>
          <w:jc w:val="center"/>
        </w:trPr>
        <w:tc>
          <w:tcPr>
            <w:tcW w:w="1384" w:type="dxa"/>
            <w:tcBorders>
              <w:right w:val="single" w:sz="12" w:space="0" w:color="auto"/>
            </w:tcBorders>
            <w:shd w:val="clear" w:color="auto" w:fill="auto"/>
            <w:vAlign w:val="center"/>
          </w:tcPr>
          <w:p w:rsidR="00950BDF" w:rsidRPr="00233DB8" w:rsidRDefault="00950BDF" w:rsidP="00233DB8">
            <w:pPr>
              <w:autoSpaceDE w:val="0"/>
              <w:autoSpaceDN w:val="0"/>
              <w:adjustRightInd w:val="0"/>
              <w:spacing w:after="0" w:line="240" w:lineRule="auto"/>
              <w:ind w:left="-57" w:right="-57"/>
              <w:rPr>
                <w:rFonts w:ascii="Times New Roman" w:hAnsi="Times New Roman" w:cs="Times New Roman"/>
                <w:sz w:val="20"/>
                <w:szCs w:val="20"/>
              </w:rPr>
            </w:pPr>
            <w:r w:rsidRPr="00233DB8">
              <w:rPr>
                <w:rFonts w:ascii="Times New Roman" w:hAnsi="Times New Roman" w:cs="Times New Roman"/>
                <w:color w:val="000000"/>
                <w:sz w:val="20"/>
                <w:szCs w:val="20"/>
              </w:rPr>
              <w:t xml:space="preserve">Vogtle-3 </w:t>
            </w:r>
          </w:p>
        </w:tc>
        <w:tc>
          <w:tcPr>
            <w:tcW w:w="1134" w:type="dxa"/>
            <w:tcBorders>
              <w:left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AP 1000</w:t>
            </w:r>
          </w:p>
        </w:tc>
        <w:tc>
          <w:tcPr>
            <w:tcW w:w="1559"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САЩ</w:t>
            </w:r>
          </w:p>
        </w:tc>
        <w:tc>
          <w:tcPr>
            <w:tcW w:w="993"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2014</w:t>
            </w:r>
          </w:p>
        </w:tc>
        <w:tc>
          <w:tcPr>
            <w:tcW w:w="1134"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2400</w:t>
            </w:r>
          </w:p>
        </w:tc>
        <w:tc>
          <w:tcPr>
            <w:tcW w:w="1049"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2019</w:t>
            </w:r>
          </w:p>
        </w:tc>
        <w:tc>
          <w:tcPr>
            <w:tcW w:w="2035"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4</w:t>
            </w:r>
            <w:r w:rsidR="00C4220F" w:rsidRPr="00233DB8">
              <w:rPr>
                <w:rFonts w:ascii="Times New Roman" w:hAnsi="Times New Roman" w:cs="Times New Roman"/>
                <w:sz w:val="20"/>
                <w:szCs w:val="20"/>
              </w:rPr>
              <w:t>.</w:t>
            </w:r>
            <w:r w:rsidRPr="00233DB8">
              <w:rPr>
                <w:rFonts w:ascii="Times New Roman" w:hAnsi="Times New Roman" w:cs="Times New Roman"/>
                <w:sz w:val="20"/>
                <w:szCs w:val="20"/>
              </w:rPr>
              <w:t>6</w:t>
            </w:r>
          </w:p>
        </w:tc>
      </w:tr>
      <w:tr w:rsidR="00950BDF" w:rsidRPr="00233DB8" w:rsidTr="00C4220F">
        <w:trPr>
          <w:jc w:val="center"/>
        </w:trPr>
        <w:tc>
          <w:tcPr>
            <w:tcW w:w="1384" w:type="dxa"/>
            <w:tcBorders>
              <w:bottom w:val="single" w:sz="12" w:space="0" w:color="auto"/>
              <w:right w:val="single" w:sz="12" w:space="0" w:color="auto"/>
            </w:tcBorders>
            <w:shd w:val="clear" w:color="auto" w:fill="auto"/>
            <w:vAlign w:val="center"/>
          </w:tcPr>
          <w:p w:rsidR="00950BDF" w:rsidRPr="00233DB8" w:rsidRDefault="00950BDF" w:rsidP="00233DB8">
            <w:pPr>
              <w:spacing w:after="0" w:line="240" w:lineRule="auto"/>
              <w:ind w:left="-57" w:right="-57"/>
              <w:rPr>
                <w:rFonts w:ascii="Times New Roman" w:hAnsi="Times New Roman" w:cs="Times New Roman"/>
                <w:sz w:val="20"/>
                <w:szCs w:val="20"/>
              </w:rPr>
            </w:pPr>
            <w:r w:rsidRPr="00233DB8">
              <w:rPr>
                <w:rFonts w:ascii="Times New Roman" w:hAnsi="Times New Roman" w:cs="Times New Roman"/>
                <w:sz w:val="20"/>
                <w:szCs w:val="20"/>
              </w:rPr>
              <w:t>WattsBar</w:t>
            </w:r>
          </w:p>
        </w:tc>
        <w:tc>
          <w:tcPr>
            <w:tcW w:w="1134" w:type="dxa"/>
            <w:tcBorders>
              <w:left w:val="single" w:sz="12" w:space="0" w:color="auto"/>
              <w:bottom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AP 1000</w:t>
            </w:r>
          </w:p>
        </w:tc>
        <w:tc>
          <w:tcPr>
            <w:tcW w:w="1559" w:type="dxa"/>
            <w:tcBorders>
              <w:bottom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САЩ</w:t>
            </w:r>
          </w:p>
        </w:tc>
        <w:tc>
          <w:tcPr>
            <w:tcW w:w="993" w:type="dxa"/>
            <w:tcBorders>
              <w:bottom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2014</w:t>
            </w:r>
          </w:p>
        </w:tc>
        <w:tc>
          <w:tcPr>
            <w:tcW w:w="1134" w:type="dxa"/>
            <w:tcBorders>
              <w:bottom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1150</w:t>
            </w:r>
          </w:p>
        </w:tc>
        <w:tc>
          <w:tcPr>
            <w:tcW w:w="1049" w:type="dxa"/>
            <w:tcBorders>
              <w:bottom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2016</w:t>
            </w:r>
          </w:p>
        </w:tc>
        <w:tc>
          <w:tcPr>
            <w:tcW w:w="2035" w:type="dxa"/>
            <w:tcBorders>
              <w:bottom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3</w:t>
            </w:r>
            <w:r w:rsidR="00C4220F" w:rsidRPr="00233DB8">
              <w:rPr>
                <w:rFonts w:ascii="Times New Roman" w:hAnsi="Times New Roman" w:cs="Times New Roman"/>
                <w:sz w:val="20"/>
                <w:szCs w:val="20"/>
              </w:rPr>
              <w:t>.</w:t>
            </w:r>
            <w:r w:rsidRPr="00233DB8">
              <w:rPr>
                <w:rFonts w:ascii="Times New Roman" w:hAnsi="Times New Roman" w:cs="Times New Roman"/>
                <w:sz w:val="20"/>
                <w:szCs w:val="20"/>
              </w:rPr>
              <w:t>0</w:t>
            </w:r>
          </w:p>
        </w:tc>
      </w:tr>
      <w:tr w:rsidR="00950BDF" w:rsidRPr="00233DB8" w:rsidTr="00C4220F">
        <w:trPr>
          <w:jc w:val="center"/>
        </w:trPr>
        <w:tc>
          <w:tcPr>
            <w:tcW w:w="1384" w:type="dxa"/>
            <w:tcBorders>
              <w:top w:val="single" w:sz="12" w:space="0" w:color="auto"/>
              <w:bottom w:val="single" w:sz="4" w:space="0" w:color="auto"/>
              <w:right w:val="single" w:sz="12" w:space="0" w:color="auto"/>
            </w:tcBorders>
            <w:shd w:val="clear" w:color="auto" w:fill="F2F2F2"/>
            <w:vAlign w:val="center"/>
          </w:tcPr>
          <w:p w:rsidR="00950BDF" w:rsidRPr="00233DB8" w:rsidRDefault="00950BDF" w:rsidP="00233DB8">
            <w:pPr>
              <w:autoSpaceDE w:val="0"/>
              <w:autoSpaceDN w:val="0"/>
              <w:adjustRightInd w:val="0"/>
              <w:spacing w:after="0" w:line="240" w:lineRule="auto"/>
              <w:ind w:left="-57" w:right="-57"/>
              <w:rPr>
                <w:rFonts w:ascii="Times New Roman" w:hAnsi="Times New Roman" w:cs="Times New Roman"/>
                <w:b/>
                <w:color w:val="000000"/>
                <w:sz w:val="20"/>
                <w:szCs w:val="20"/>
              </w:rPr>
            </w:pPr>
            <w:r w:rsidRPr="00233DB8">
              <w:rPr>
                <w:rFonts w:ascii="Times New Roman" w:hAnsi="Times New Roman" w:cs="Times New Roman"/>
                <w:b/>
                <w:color w:val="000000"/>
                <w:sz w:val="20"/>
                <w:szCs w:val="20"/>
              </w:rPr>
              <w:t>Азия</w:t>
            </w:r>
          </w:p>
        </w:tc>
        <w:tc>
          <w:tcPr>
            <w:tcW w:w="1134" w:type="dxa"/>
            <w:tcBorders>
              <w:top w:val="single" w:sz="12" w:space="0" w:color="auto"/>
              <w:left w:val="single" w:sz="12" w:space="0" w:color="auto"/>
              <w:bottom w:val="single" w:sz="4" w:space="0" w:color="auto"/>
            </w:tcBorders>
            <w:shd w:val="clear" w:color="auto" w:fill="F2F2F2"/>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p>
        </w:tc>
        <w:tc>
          <w:tcPr>
            <w:tcW w:w="1559" w:type="dxa"/>
            <w:tcBorders>
              <w:top w:val="single" w:sz="12" w:space="0" w:color="auto"/>
              <w:bottom w:val="single" w:sz="4" w:space="0" w:color="auto"/>
            </w:tcBorders>
            <w:shd w:val="clear" w:color="auto" w:fill="F2F2F2"/>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p>
        </w:tc>
        <w:tc>
          <w:tcPr>
            <w:tcW w:w="993" w:type="dxa"/>
            <w:tcBorders>
              <w:top w:val="single" w:sz="12" w:space="0" w:color="auto"/>
              <w:bottom w:val="single" w:sz="4" w:space="0" w:color="auto"/>
            </w:tcBorders>
            <w:shd w:val="clear" w:color="auto" w:fill="F2F2F2"/>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p>
        </w:tc>
        <w:tc>
          <w:tcPr>
            <w:tcW w:w="1134" w:type="dxa"/>
            <w:tcBorders>
              <w:top w:val="single" w:sz="12" w:space="0" w:color="auto"/>
              <w:bottom w:val="single" w:sz="4" w:space="0" w:color="auto"/>
            </w:tcBorders>
            <w:shd w:val="clear" w:color="auto" w:fill="F2F2F2"/>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p>
        </w:tc>
        <w:tc>
          <w:tcPr>
            <w:tcW w:w="1049" w:type="dxa"/>
            <w:tcBorders>
              <w:top w:val="single" w:sz="12" w:space="0" w:color="auto"/>
              <w:bottom w:val="single" w:sz="4" w:space="0" w:color="auto"/>
            </w:tcBorders>
            <w:shd w:val="clear" w:color="auto" w:fill="F2F2F2"/>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p>
        </w:tc>
        <w:tc>
          <w:tcPr>
            <w:tcW w:w="2035" w:type="dxa"/>
            <w:tcBorders>
              <w:top w:val="single" w:sz="12" w:space="0" w:color="auto"/>
              <w:bottom w:val="single" w:sz="4" w:space="0" w:color="auto"/>
            </w:tcBorders>
            <w:shd w:val="clear" w:color="auto" w:fill="F2F2F2"/>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p>
        </w:tc>
      </w:tr>
      <w:tr w:rsidR="00950BDF" w:rsidRPr="00233DB8" w:rsidTr="00C4220F">
        <w:trPr>
          <w:jc w:val="center"/>
        </w:trPr>
        <w:tc>
          <w:tcPr>
            <w:tcW w:w="1384" w:type="dxa"/>
            <w:tcBorders>
              <w:top w:val="single" w:sz="4" w:space="0" w:color="auto"/>
              <w:right w:val="single" w:sz="12" w:space="0" w:color="auto"/>
            </w:tcBorders>
            <w:shd w:val="clear" w:color="auto" w:fill="auto"/>
            <w:vAlign w:val="center"/>
          </w:tcPr>
          <w:p w:rsidR="00950BDF" w:rsidRPr="00233DB8" w:rsidRDefault="00950BDF" w:rsidP="00233DB8">
            <w:pPr>
              <w:autoSpaceDE w:val="0"/>
              <w:autoSpaceDN w:val="0"/>
              <w:adjustRightInd w:val="0"/>
              <w:spacing w:after="0" w:line="240" w:lineRule="auto"/>
              <w:ind w:left="-57" w:right="-57"/>
              <w:rPr>
                <w:rFonts w:ascii="Times New Roman" w:hAnsi="Times New Roman" w:cs="Times New Roman"/>
                <w:sz w:val="20"/>
                <w:szCs w:val="20"/>
              </w:rPr>
            </w:pPr>
            <w:r w:rsidRPr="00233DB8">
              <w:rPr>
                <w:rFonts w:ascii="Times New Roman" w:hAnsi="Times New Roman" w:cs="Times New Roman"/>
                <w:color w:val="000000"/>
                <w:sz w:val="20"/>
                <w:szCs w:val="20"/>
              </w:rPr>
              <w:t>Taishan</w:t>
            </w:r>
          </w:p>
        </w:tc>
        <w:tc>
          <w:tcPr>
            <w:tcW w:w="1134" w:type="dxa"/>
            <w:tcBorders>
              <w:top w:val="single" w:sz="4" w:space="0" w:color="auto"/>
              <w:left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EPR</w:t>
            </w:r>
          </w:p>
        </w:tc>
        <w:tc>
          <w:tcPr>
            <w:tcW w:w="1559" w:type="dxa"/>
            <w:tcBorders>
              <w:top w:val="single" w:sz="4"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Китай</w:t>
            </w:r>
          </w:p>
        </w:tc>
        <w:tc>
          <w:tcPr>
            <w:tcW w:w="993" w:type="dxa"/>
            <w:tcBorders>
              <w:top w:val="single" w:sz="4"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2013</w:t>
            </w:r>
          </w:p>
        </w:tc>
        <w:tc>
          <w:tcPr>
            <w:tcW w:w="1134" w:type="dxa"/>
            <w:tcBorders>
              <w:top w:val="single" w:sz="4"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1660</w:t>
            </w:r>
          </w:p>
        </w:tc>
        <w:tc>
          <w:tcPr>
            <w:tcW w:w="1049" w:type="dxa"/>
            <w:tcBorders>
              <w:top w:val="single" w:sz="4"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2016</w:t>
            </w:r>
          </w:p>
        </w:tc>
        <w:tc>
          <w:tcPr>
            <w:tcW w:w="2035" w:type="dxa"/>
            <w:tcBorders>
              <w:top w:val="single" w:sz="4"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3</w:t>
            </w:r>
            <w:r w:rsidR="00C4220F" w:rsidRPr="00233DB8">
              <w:rPr>
                <w:rFonts w:ascii="Times New Roman" w:hAnsi="Times New Roman" w:cs="Times New Roman"/>
                <w:sz w:val="20"/>
                <w:szCs w:val="20"/>
              </w:rPr>
              <w:t>.</w:t>
            </w:r>
            <w:r w:rsidRPr="00233DB8">
              <w:rPr>
                <w:rFonts w:ascii="Times New Roman" w:hAnsi="Times New Roman" w:cs="Times New Roman"/>
                <w:sz w:val="20"/>
                <w:szCs w:val="20"/>
              </w:rPr>
              <w:t>3</w:t>
            </w:r>
          </w:p>
        </w:tc>
      </w:tr>
      <w:tr w:rsidR="00950BDF" w:rsidRPr="00233DB8" w:rsidTr="00C4220F">
        <w:trPr>
          <w:jc w:val="center"/>
        </w:trPr>
        <w:tc>
          <w:tcPr>
            <w:tcW w:w="1384" w:type="dxa"/>
            <w:tcBorders>
              <w:right w:val="single" w:sz="12" w:space="0" w:color="auto"/>
            </w:tcBorders>
            <w:shd w:val="clear" w:color="auto" w:fill="auto"/>
            <w:vAlign w:val="center"/>
          </w:tcPr>
          <w:p w:rsidR="00950BDF" w:rsidRPr="00233DB8" w:rsidRDefault="00950BDF" w:rsidP="00233DB8">
            <w:pPr>
              <w:autoSpaceDE w:val="0"/>
              <w:autoSpaceDN w:val="0"/>
              <w:adjustRightInd w:val="0"/>
              <w:spacing w:after="0" w:line="240" w:lineRule="auto"/>
              <w:ind w:left="-57" w:right="-57"/>
              <w:rPr>
                <w:rFonts w:ascii="Times New Roman" w:hAnsi="Times New Roman" w:cs="Times New Roman"/>
                <w:sz w:val="20"/>
                <w:szCs w:val="20"/>
              </w:rPr>
            </w:pPr>
            <w:r w:rsidRPr="00233DB8">
              <w:rPr>
                <w:rFonts w:ascii="Times New Roman" w:hAnsi="Times New Roman" w:cs="Times New Roman"/>
                <w:color w:val="000000"/>
                <w:sz w:val="20"/>
                <w:szCs w:val="20"/>
              </w:rPr>
              <w:t>Lungmen</w:t>
            </w:r>
          </w:p>
        </w:tc>
        <w:tc>
          <w:tcPr>
            <w:tcW w:w="1134" w:type="dxa"/>
            <w:tcBorders>
              <w:left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ABWR</w:t>
            </w:r>
          </w:p>
        </w:tc>
        <w:tc>
          <w:tcPr>
            <w:tcW w:w="1559"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Тайван</w:t>
            </w:r>
          </w:p>
        </w:tc>
        <w:tc>
          <w:tcPr>
            <w:tcW w:w="993"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2012</w:t>
            </w:r>
          </w:p>
        </w:tc>
        <w:tc>
          <w:tcPr>
            <w:tcW w:w="1134"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2700</w:t>
            </w:r>
          </w:p>
        </w:tc>
        <w:tc>
          <w:tcPr>
            <w:tcW w:w="1049"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2017</w:t>
            </w:r>
          </w:p>
        </w:tc>
        <w:tc>
          <w:tcPr>
            <w:tcW w:w="2035"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w:t>
            </w:r>
            <w:r w:rsidR="00C4220F" w:rsidRPr="00233DB8">
              <w:rPr>
                <w:rFonts w:ascii="Times New Roman" w:hAnsi="Times New Roman" w:cs="Times New Roman"/>
                <w:sz w:val="20"/>
                <w:szCs w:val="20"/>
              </w:rPr>
              <w:t>.</w:t>
            </w:r>
            <w:r w:rsidRPr="00233DB8">
              <w:rPr>
                <w:rFonts w:ascii="Times New Roman" w:hAnsi="Times New Roman" w:cs="Times New Roman"/>
                <w:sz w:val="20"/>
                <w:szCs w:val="20"/>
              </w:rPr>
              <w:t>4</w:t>
            </w:r>
          </w:p>
        </w:tc>
      </w:tr>
      <w:tr w:rsidR="00950BDF" w:rsidRPr="00233DB8" w:rsidTr="00C4220F">
        <w:trPr>
          <w:jc w:val="center"/>
        </w:trPr>
        <w:tc>
          <w:tcPr>
            <w:tcW w:w="1384" w:type="dxa"/>
            <w:tcBorders>
              <w:right w:val="single" w:sz="12" w:space="0" w:color="auto"/>
            </w:tcBorders>
            <w:shd w:val="clear" w:color="auto" w:fill="auto"/>
            <w:vAlign w:val="center"/>
          </w:tcPr>
          <w:p w:rsidR="00950BDF" w:rsidRPr="00233DB8" w:rsidRDefault="00950BDF" w:rsidP="00233DB8">
            <w:pPr>
              <w:autoSpaceDE w:val="0"/>
              <w:autoSpaceDN w:val="0"/>
              <w:adjustRightInd w:val="0"/>
              <w:spacing w:after="0" w:line="240" w:lineRule="auto"/>
              <w:ind w:left="-57" w:right="-57"/>
              <w:rPr>
                <w:rFonts w:ascii="Times New Roman" w:hAnsi="Times New Roman" w:cs="Times New Roman"/>
                <w:sz w:val="20"/>
                <w:szCs w:val="20"/>
              </w:rPr>
            </w:pPr>
            <w:r w:rsidRPr="00233DB8">
              <w:rPr>
                <w:rFonts w:ascii="Times New Roman" w:hAnsi="Times New Roman" w:cs="Times New Roman"/>
                <w:color w:val="000000"/>
                <w:sz w:val="20"/>
                <w:szCs w:val="20"/>
              </w:rPr>
              <w:t>Sanmen</w:t>
            </w:r>
          </w:p>
        </w:tc>
        <w:tc>
          <w:tcPr>
            <w:tcW w:w="1134" w:type="dxa"/>
            <w:tcBorders>
              <w:left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AP 1000</w:t>
            </w:r>
          </w:p>
        </w:tc>
        <w:tc>
          <w:tcPr>
            <w:tcW w:w="1559"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Китай</w:t>
            </w:r>
          </w:p>
        </w:tc>
        <w:tc>
          <w:tcPr>
            <w:tcW w:w="993"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2009</w:t>
            </w:r>
          </w:p>
        </w:tc>
        <w:tc>
          <w:tcPr>
            <w:tcW w:w="1134"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2200</w:t>
            </w:r>
          </w:p>
        </w:tc>
        <w:tc>
          <w:tcPr>
            <w:tcW w:w="1049"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2016</w:t>
            </w:r>
          </w:p>
        </w:tc>
        <w:tc>
          <w:tcPr>
            <w:tcW w:w="2035"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w:t>
            </w:r>
            <w:r w:rsidR="00C4220F" w:rsidRPr="00233DB8">
              <w:rPr>
                <w:rFonts w:ascii="Times New Roman" w:hAnsi="Times New Roman" w:cs="Times New Roman"/>
                <w:sz w:val="20"/>
                <w:szCs w:val="20"/>
              </w:rPr>
              <w:t>.</w:t>
            </w:r>
            <w:r w:rsidRPr="00233DB8">
              <w:rPr>
                <w:rFonts w:ascii="Times New Roman" w:hAnsi="Times New Roman" w:cs="Times New Roman"/>
                <w:sz w:val="20"/>
                <w:szCs w:val="20"/>
              </w:rPr>
              <w:t>1</w:t>
            </w:r>
          </w:p>
        </w:tc>
      </w:tr>
      <w:tr w:rsidR="00950BDF" w:rsidRPr="00233DB8" w:rsidTr="00C4220F">
        <w:trPr>
          <w:jc w:val="center"/>
        </w:trPr>
        <w:tc>
          <w:tcPr>
            <w:tcW w:w="1384" w:type="dxa"/>
            <w:tcBorders>
              <w:right w:val="single" w:sz="12" w:space="0" w:color="auto"/>
            </w:tcBorders>
            <w:shd w:val="clear" w:color="auto" w:fill="auto"/>
            <w:vAlign w:val="center"/>
          </w:tcPr>
          <w:p w:rsidR="00950BDF" w:rsidRPr="00233DB8" w:rsidRDefault="00950BDF" w:rsidP="00233DB8">
            <w:pPr>
              <w:spacing w:after="0" w:line="240" w:lineRule="auto"/>
              <w:ind w:left="-57" w:right="-57"/>
              <w:rPr>
                <w:rFonts w:ascii="Times New Roman" w:hAnsi="Times New Roman" w:cs="Times New Roman"/>
                <w:sz w:val="20"/>
                <w:szCs w:val="20"/>
              </w:rPr>
            </w:pPr>
            <w:r w:rsidRPr="00233DB8">
              <w:rPr>
                <w:rFonts w:ascii="Times New Roman" w:hAnsi="Times New Roman" w:cs="Times New Roman"/>
                <w:sz w:val="20"/>
                <w:szCs w:val="20"/>
              </w:rPr>
              <w:t>ShinHanul</w:t>
            </w:r>
          </w:p>
        </w:tc>
        <w:tc>
          <w:tcPr>
            <w:tcW w:w="1134" w:type="dxa"/>
            <w:tcBorders>
              <w:left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APR-1400</w:t>
            </w:r>
          </w:p>
        </w:tc>
        <w:tc>
          <w:tcPr>
            <w:tcW w:w="1559"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Южна Корея</w:t>
            </w:r>
          </w:p>
        </w:tc>
        <w:tc>
          <w:tcPr>
            <w:tcW w:w="993"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2012</w:t>
            </w:r>
          </w:p>
        </w:tc>
        <w:tc>
          <w:tcPr>
            <w:tcW w:w="1134"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2800</w:t>
            </w:r>
          </w:p>
        </w:tc>
        <w:tc>
          <w:tcPr>
            <w:tcW w:w="1049"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2018</w:t>
            </w:r>
          </w:p>
        </w:tc>
        <w:tc>
          <w:tcPr>
            <w:tcW w:w="2035"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1</w:t>
            </w:r>
            <w:r w:rsidR="00C4220F" w:rsidRPr="00233DB8">
              <w:rPr>
                <w:rFonts w:ascii="Times New Roman" w:hAnsi="Times New Roman" w:cs="Times New Roman"/>
                <w:sz w:val="20"/>
                <w:szCs w:val="20"/>
              </w:rPr>
              <w:t>.</w:t>
            </w:r>
            <w:r w:rsidRPr="00233DB8">
              <w:rPr>
                <w:rFonts w:ascii="Times New Roman" w:hAnsi="Times New Roman" w:cs="Times New Roman"/>
                <w:sz w:val="20"/>
                <w:szCs w:val="20"/>
              </w:rPr>
              <w:t>6</w:t>
            </w:r>
          </w:p>
        </w:tc>
      </w:tr>
      <w:tr w:rsidR="00950BDF" w:rsidRPr="00233DB8" w:rsidTr="00C4220F">
        <w:trPr>
          <w:jc w:val="center"/>
        </w:trPr>
        <w:tc>
          <w:tcPr>
            <w:tcW w:w="1384" w:type="dxa"/>
            <w:tcBorders>
              <w:right w:val="single" w:sz="12" w:space="0" w:color="auto"/>
            </w:tcBorders>
            <w:shd w:val="clear" w:color="auto" w:fill="auto"/>
            <w:vAlign w:val="center"/>
          </w:tcPr>
          <w:p w:rsidR="00950BDF" w:rsidRPr="00233DB8" w:rsidRDefault="00950BDF" w:rsidP="00233DB8">
            <w:pPr>
              <w:spacing w:after="0" w:line="240" w:lineRule="auto"/>
              <w:ind w:left="-57" w:right="-57"/>
              <w:rPr>
                <w:rFonts w:ascii="Times New Roman" w:hAnsi="Times New Roman" w:cs="Times New Roman"/>
                <w:sz w:val="20"/>
                <w:szCs w:val="20"/>
              </w:rPr>
            </w:pPr>
            <w:r w:rsidRPr="00233DB8">
              <w:rPr>
                <w:rFonts w:ascii="Times New Roman" w:hAnsi="Times New Roman" w:cs="Times New Roman"/>
                <w:sz w:val="20"/>
                <w:szCs w:val="20"/>
              </w:rPr>
              <w:t>UAE – Kepco</w:t>
            </w:r>
          </w:p>
        </w:tc>
        <w:tc>
          <w:tcPr>
            <w:tcW w:w="1134" w:type="dxa"/>
            <w:tcBorders>
              <w:left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APR-1400</w:t>
            </w:r>
          </w:p>
        </w:tc>
        <w:tc>
          <w:tcPr>
            <w:tcW w:w="1559"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ОАЕ</w:t>
            </w:r>
          </w:p>
        </w:tc>
        <w:tc>
          <w:tcPr>
            <w:tcW w:w="993"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2015</w:t>
            </w:r>
          </w:p>
        </w:tc>
        <w:tc>
          <w:tcPr>
            <w:tcW w:w="1134"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2600</w:t>
            </w:r>
          </w:p>
        </w:tc>
        <w:tc>
          <w:tcPr>
            <w:tcW w:w="1049"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2017</w:t>
            </w:r>
          </w:p>
        </w:tc>
        <w:tc>
          <w:tcPr>
            <w:tcW w:w="2035"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3</w:t>
            </w:r>
            <w:r w:rsidR="00C4220F" w:rsidRPr="00233DB8">
              <w:rPr>
                <w:rFonts w:ascii="Times New Roman" w:hAnsi="Times New Roman" w:cs="Times New Roman"/>
                <w:sz w:val="20"/>
                <w:szCs w:val="20"/>
              </w:rPr>
              <w:t>.</w:t>
            </w:r>
            <w:r w:rsidRPr="00233DB8">
              <w:rPr>
                <w:rFonts w:ascii="Times New Roman" w:hAnsi="Times New Roman" w:cs="Times New Roman"/>
                <w:sz w:val="20"/>
                <w:szCs w:val="20"/>
              </w:rPr>
              <w:t>5</w:t>
            </w:r>
          </w:p>
        </w:tc>
      </w:tr>
      <w:tr w:rsidR="00950BDF" w:rsidRPr="00233DB8" w:rsidTr="00C4220F">
        <w:trPr>
          <w:jc w:val="center"/>
        </w:trPr>
        <w:tc>
          <w:tcPr>
            <w:tcW w:w="1384" w:type="dxa"/>
            <w:tcBorders>
              <w:right w:val="single" w:sz="12" w:space="0" w:color="auto"/>
            </w:tcBorders>
            <w:shd w:val="clear" w:color="auto" w:fill="auto"/>
            <w:vAlign w:val="center"/>
          </w:tcPr>
          <w:p w:rsidR="00950BDF" w:rsidRPr="00233DB8" w:rsidRDefault="00950BDF" w:rsidP="00233DB8">
            <w:pPr>
              <w:spacing w:after="0" w:line="240" w:lineRule="auto"/>
              <w:ind w:left="-57" w:right="-57"/>
              <w:rPr>
                <w:rFonts w:ascii="Times New Roman" w:hAnsi="Times New Roman" w:cs="Times New Roman"/>
                <w:sz w:val="20"/>
                <w:szCs w:val="20"/>
              </w:rPr>
            </w:pPr>
            <w:r w:rsidRPr="00233DB8">
              <w:rPr>
                <w:rFonts w:ascii="Times New Roman" w:hAnsi="Times New Roman" w:cs="Times New Roman"/>
                <w:sz w:val="20"/>
                <w:szCs w:val="20"/>
              </w:rPr>
              <w:t>ShinKori</w:t>
            </w:r>
          </w:p>
        </w:tc>
        <w:tc>
          <w:tcPr>
            <w:tcW w:w="1134" w:type="dxa"/>
            <w:tcBorders>
              <w:left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APR-1400</w:t>
            </w:r>
          </w:p>
        </w:tc>
        <w:tc>
          <w:tcPr>
            <w:tcW w:w="1559"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Южна Корея</w:t>
            </w:r>
          </w:p>
        </w:tc>
        <w:tc>
          <w:tcPr>
            <w:tcW w:w="993"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2014</w:t>
            </w:r>
          </w:p>
        </w:tc>
        <w:tc>
          <w:tcPr>
            <w:tcW w:w="1134"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2800</w:t>
            </w:r>
          </w:p>
        </w:tc>
        <w:tc>
          <w:tcPr>
            <w:tcW w:w="1049"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2016</w:t>
            </w:r>
          </w:p>
        </w:tc>
        <w:tc>
          <w:tcPr>
            <w:tcW w:w="2035"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1</w:t>
            </w:r>
            <w:r w:rsidR="00C4220F" w:rsidRPr="00233DB8">
              <w:rPr>
                <w:rFonts w:ascii="Times New Roman" w:hAnsi="Times New Roman" w:cs="Times New Roman"/>
                <w:sz w:val="20"/>
                <w:szCs w:val="20"/>
              </w:rPr>
              <w:t>.</w:t>
            </w:r>
            <w:r w:rsidRPr="00233DB8">
              <w:rPr>
                <w:rFonts w:ascii="Times New Roman" w:hAnsi="Times New Roman" w:cs="Times New Roman"/>
                <w:sz w:val="20"/>
                <w:szCs w:val="20"/>
              </w:rPr>
              <w:t>7</w:t>
            </w:r>
          </w:p>
        </w:tc>
      </w:tr>
      <w:tr w:rsidR="00950BDF" w:rsidRPr="00233DB8" w:rsidTr="00C4220F">
        <w:trPr>
          <w:jc w:val="center"/>
        </w:trPr>
        <w:tc>
          <w:tcPr>
            <w:tcW w:w="1384" w:type="dxa"/>
            <w:tcBorders>
              <w:bottom w:val="single" w:sz="12" w:space="0" w:color="auto"/>
              <w:right w:val="single" w:sz="12" w:space="0" w:color="auto"/>
            </w:tcBorders>
            <w:shd w:val="clear" w:color="auto" w:fill="auto"/>
            <w:vAlign w:val="center"/>
          </w:tcPr>
          <w:p w:rsidR="00950BDF" w:rsidRPr="00233DB8" w:rsidRDefault="00950BDF" w:rsidP="00233DB8">
            <w:pPr>
              <w:spacing w:after="0" w:line="240" w:lineRule="auto"/>
              <w:ind w:left="-57" w:right="-57"/>
              <w:rPr>
                <w:rFonts w:ascii="Times New Roman" w:hAnsi="Times New Roman" w:cs="Times New Roman"/>
                <w:sz w:val="20"/>
                <w:szCs w:val="20"/>
              </w:rPr>
            </w:pPr>
            <w:r w:rsidRPr="00233DB8">
              <w:rPr>
                <w:rFonts w:ascii="Times New Roman" w:hAnsi="Times New Roman" w:cs="Times New Roman"/>
                <w:sz w:val="20"/>
                <w:szCs w:val="20"/>
              </w:rPr>
              <w:t>Akkuyu</w:t>
            </w:r>
          </w:p>
        </w:tc>
        <w:tc>
          <w:tcPr>
            <w:tcW w:w="1134" w:type="dxa"/>
            <w:tcBorders>
              <w:left w:val="single" w:sz="12" w:space="0" w:color="auto"/>
            </w:tcBorders>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VVER-1200</w:t>
            </w:r>
          </w:p>
        </w:tc>
        <w:tc>
          <w:tcPr>
            <w:tcW w:w="1559"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Турция</w:t>
            </w:r>
          </w:p>
        </w:tc>
        <w:tc>
          <w:tcPr>
            <w:tcW w:w="993"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2012</w:t>
            </w:r>
          </w:p>
        </w:tc>
        <w:tc>
          <w:tcPr>
            <w:tcW w:w="1134"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4800</w:t>
            </w:r>
          </w:p>
        </w:tc>
        <w:tc>
          <w:tcPr>
            <w:tcW w:w="1049"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2023</w:t>
            </w:r>
          </w:p>
        </w:tc>
        <w:tc>
          <w:tcPr>
            <w:tcW w:w="2035" w:type="dxa"/>
            <w:shd w:val="clear" w:color="auto" w:fill="auto"/>
            <w:vAlign w:val="center"/>
          </w:tcPr>
          <w:p w:rsidR="00950BDF" w:rsidRPr="00233DB8" w:rsidRDefault="00950BDF" w:rsidP="00233DB8">
            <w:pPr>
              <w:spacing w:after="0" w:line="240" w:lineRule="auto"/>
              <w:ind w:left="-57" w:right="-57"/>
              <w:jc w:val="center"/>
              <w:rPr>
                <w:rFonts w:ascii="Times New Roman" w:hAnsi="Times New Roman" w:cs="Times New Roman"/>
                <w:sz w:val="20"/>
                <w:szCs w:val="20"/>
              </w:rPr>
            </w:pPr>
            <w:r w:rsidRPr="00233DB8">
              <w:rPr>
                <w:rFonts w:ascii="Times New Roman" w:hAnsi="Times New Roman" w:cs="Times New Roman"/>
                <w:sz w:val="20"/>
                <w:szCs w:val="20"/>
              </w:rPr>
              <w:t>2</w:t>
            </w:r>
            <w:r w:rsidR="00C4220F" w:rsidRPr="00233DB8">
              <w:rPr>
                <w:rFonts w:ascii="Times New Roman" w:hAnsi="Times New Roman" w:cs="Times New Roman"/>
                <w:sz w:val="20"/>
                <w:szCs w:val="20"/>
              </w:rPr>
              <w:t>.</w:t>
            </w:r>
            <w:r w:rsidRPr="00233DB8">
              <w:rPr>
                <w:rFonts w:ascii="Times New Roman" w:hAnsi="Times New Roman" w:cs="Times New Roman"/>
                <w:sz w:val="20"/>
                <w:szCs w:val="20"/>
              </w:rPr>
              <w:t>6</w:t>
            </w:r>
          </w:p>
        </w:tc>
      </w:tr>
    </w:tbl>
    <w:p w:rsidR="00950BDF" w:rsidRDefault="00E3646D" w:rsidP="00233DB8">
      <w:pPr>
        <w:pStyle w:val="Default"/>
        <w:jc w:val="both"/>
        <w:rPr>
          <w:rFonts w:ascii="Times New Roman" w:hAnsi="Times New Roman" w:cs="Times New Roman"/>
          <w:sz w:val="20"/>
        </w:rPr>
      </w:pPr>
      <w:r>
        <w:rPr>
          <w:rFonts w:ascii="Times New Roman" w:hAnsi="Times New Roman" w:cs="Times New Roman"/>
          <w:sz w:val="20"/>
        </w:rPr>
        <w:t>Източник: Rothschild.</w:t>
      </w:r>
      <w:r w:rsidR="00233DB8">
        <w:rPr>
          <w:rFonts w:ascii="Times New Roman" w:hAnsi="Times New Roman" w:cs="Times New Roman"/>
          <w:sz w:val="20"/>
        </w:rPr>
        <w:t xml:space="preserve"> </w:t>
      </w:r>
      <w:r>
        <w:rPr>
          <w:rFonts w:ascii="Times New Roman" w:hAnsi="Times New Roman" w:cs="Times New Roman"/>
          <w:sz w:val="20"/>
        </w:rPr>
        <w:t>(</w:t>
      </w:r>
      <w:r w:rsidR="00950BDF" w:rsidRPr="009E067D">
        <w:rPr>
          <w:rFonts w:ascii="Times New Roman" w:hAnsi="Times New Roman" w:cs="Times New Roman"/>
          <w:sz w:val="20"/>
        </w:rPr>
        <w:t>2015</w:t>
      </w:r>
      <w:r>
        <w:rPr>
          <w:rFonts w:ascii="Times New Roman" w:hAnsi="Times New Roman" w:cs="Times New Roman"/>
          <w:sz w:val="20"/>
        </w:rPr>
        <w:t>).</w:t>
      </w:r>
      <w:r w:rsidR="00950BDF" w:rsidRPr="009E067D">
        <w:rPr>
          <w:rFonts w:ascii="Times New Roman" w:hAnsi="Times New Roman" w:cs="Times New Roman"/>
          <w:sz w:val="20"/>
        </w:rPr>
        <w:t xml:space="preserve"> Economic analysis</w:t>
      </w:r>
      <w:r w:rsidR="00233DB8">
        <w:rPr>
          <w:rFonts w:ascii="Times New Roman" w:hAnsi="Times New Roman" w:cs="Times New Roman"/>
          <w:sz w:val="20"/>
        </w:rPr>
        <w:t xml:space="preserve"> </w:t>
      </w:r>
      <w:r w:rsidR="00950BDF" w:rsidRPr="009E067D">
        <w:rPr>
          <w:rFonts w:ascii="Times New Roman" w:hAnsi="Times New Roman" w:cs="Times New Roman"/>
          <w:sz w:val="20"/>
        </w:rPr>
        <w:t>for</w:t>
      </w:r>
      <w:r w:rsidR="00233DB8">
        <w:rPr>
          <w:rFonts w:ascii="Times New Roman" w:hAnsi="Times New Roman" w:cs="Times New Roman"/>
          <w:sz w:val="20"/>
        </w:rPr>
        <w:t xml:space="preserve"> </w:t>
      </w:r>
      <w:r w:rsidR="00950BDF" w:rsidRPr="009E067D">
        <w:rPr>
          <w:rFonts w:ascii="Times New Roman" w:hAnsi="Times New Roman" w:cs="Times New Roman"/>
          <w:sz w:val="20"/>
        </w:rPr>
        <w:t>the</w:t>
      </w:r>
      <w:r w:rsidR="00233DB8">
        <w:rPr>
          <w:rFonts w:ascii="Times New Roman" w:hAnsi="Times New Roman" w:cs="Times New Roman"/>
          <w:sz w:val="20"/>
        </w:rPr>
        <w:t xml:space="preserve"> </w:t>
      </w:r>
      <w:r w:rsidR="00950BDF" w:rsidRPr="009E067D">
        <w:rPr>
          <w:rFonts w:ascii="Times New Roman" w:hAnsi="Times New Roman" w:cs="Times New Roman"/>
          <w:sz w:val="20"/>
        </w:rPr>
        <w:t>Paks II nuclear</w:t>
      </w:r>
      <w:r w:rsidR="00233DB8">
        <w:rPr>
          <w:rFonts w:ascii="Times New Roman" w:hAnsi="Times New Roman" w:cs="Times New Roman"/>
          <w:sz w:val="20"/>
        </w:rPr>
        <w:t xml:space="preserve"> </w:t>
      </w:r>
      <w:r w:rsidR="00950BDF" w:rsidRPr="009E067D">
        <w:rPr>
          <w:rFonts w:ascii="Times New Roman" w:hAnsi="Times New Roman" w:cs="Times New Roman"/>
          <w:sz w:val="20"/>
        </w:rPr>
        <w:t>power</w:t>
      </w:r>
      <w:r w:rsidR="00233DB8">
        <w:rPr>
          <w:rFonts w:ascii="Times New Roman" w:hAnsi="Times New Roman" w:cs="Times New Roman"/>
          <w:sz w:val="20"/>
        </w:rPr>
        <w:t xml:space="preserve"> </w:t>
      </w:r>
      <w:r w:rsidR="00950BDF" w:rsidRPr="009E067D">
        <w:rPr>
          <w:rFonts w:ascii="Times New Roman" w:hAnsi="Times New Roman" w:cs="Times New Roman"/>
          <w:sz w:val="20"/>
        </w:rPr>
        <w:t>project. A  rational</w:t>
      </w:r>
      <w:r w:rsidR="00233DB8">
        <w:rPr>
          <w:rFonts w:ascii="Times New Roman" w:hAnsi="Times New Roman" w:cs="Times New Roman"/>
          <w:sz w:val="20"/>
        </w:rPr>
        <w:t xml:space="preserve"> </w:t>
      </w:r>
      <w:r w:rsidR="00950BDF" w:rsidRPr="009E067D">
        <w:rPr>
          <w:rFonts w:ascii="Times New Roman" w:hAnsi="Times New Roman" w:cs="Times New Roman"/>
          <w:sz w:val="20"/>
        </w:rPr>
        <w:t>investment</w:t>
      </w:r>
      <w:r w:rsidR="00233DB8">
        <w:rPr>
          <w:rFonts w:ascii="Times New Roman" w:hAnsi="Times New Roman" w:cs="Times New Roman"/>
          <w:sz w:val="20"/>
        </w:rPr>
        <w:t xml:space="preserve"> </w:t>
      </w:r>
      <w:r w:rsidR="00950BDF" w:rsidRPr="009E067D">
        <w:rPr>
          <w:rFonts w:ascii="Times New Roman" w:hAnsi="Times New Roman" w:cs="Times New Roman"/>
          <w:sz w:val="20"/>
        </w:rPr>
        <w:t>case</w:t>
      </w:r>
      <w:r w:rsidR="00233DB8">
        <w:rPr>
          <w:rFonts w:ascii="Times New Roman" w:hAnsi="Times New Roman" w:cs="Times New Roman"/>
          <w:sz w:val="20"/>
        </w:rPr>
        <w:t xml:space="preserve"> </w:t>
      </w:r>
      <w:r w:rsidR="00950BDF" w:rsidRPr="009E067D">
        <w:rPr>
          <w:rFonts w:ascii="Times New Roman" w:hAnsi="Times New Roman" w:cs="Times New Roman"/>
          <w:sz w:val="20"/>
        </w:rPr>
        <w:t>for</w:t>
      </w:r>
      <w:r w:rsidR="00233DB8">
        <w:rPr>
          <w:rFonts w:ascii="Times New Roman" w:hAnsi="Times New Roman" w:cs="Times New Roman"/>
          <w:sz w:val="20"/>
        </w:rPr>
        <w:t xml:space="preserve"> </w:t>
      </w:r>
      <w:r w:rsidR="00950BDF" w:rsidRPr="009E067D">
        <w:rPr>
          <w:rFonts w:ascii="Times New Roman" w:hAnsi="Times New Roman" w:cs="Times New Roman"/>
          <w:sz w:val="20"/>
        </w:rPr>
        <w:t xml:space="preserve">Hungarian State Resources. </w:t>
      </w:r>
      <w:r>
        <w:rPr>
          <w:rFonts w:ascii="Times New Roman" w:hAnsi="Times New Roman" w:cs="Times New Roman"/>
          <w:sz w:val="20"/>
        </w:rPr>
        <w:t>р</w:t>
      </w:r>
      <w:r w:rsidR="00950BDF" w:rsidRPr="009E067D">
        <w:rPr>
          <w:rFonts w:ascii="Times New Roman" w:hAnsi="Times New Roman" w:cs="Times New Roman"/>
          <w:sz w:val="20"/>
        </w:rPr>
        <w:t>. 21.</w:t>
      </w:r>
    </w:p>
    <w:p w:rsidR="00E3646D" w:rsidRPr="009E067D" w:rsidRDefault="00E3646D" w:rsidP="00233DB8">
      <w:pPr>
        <w:pStyle w:val="Default"/>
        <w:jc w:val="both"/>
        <w:rPr>
          <w:rFonts w:ascii="Times New Roman" w:hAnsi="Times New Roman" w:cs="Times New Roman"/>
          <w:sz w:val="20"/>
        </w:rPr>
      </w:pP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 xml:space="preserve">Времевото разпределение на ескалираните капиталови разходи във фазата на изграждане на АЕЦ „Белене“ е направено въз основа на характера и технологичната последователност на отделните дейности </w:t>
      </w:r>
      <w:r w:rsidR="00FE171E">
        <w:rPr>
          <w:rFonts w:ascii="Times New Roman" w:hAnsi="Times New Roman" w:cs="Times New Roman"/>
          <w:sz w:val="24"/>
          <w:szCs w:val="24"/>
        </w:rPr>
        <w:t>(вж.</w:t>
      </w:r>
      <w:r w:rsidR="00C4220F">
        <w:rPr>
          <w:rFonts w:ascii="Times New Roman" w:hAnsi="Times New Roman" w:cs="Times New Roman"/>
          <w:sz w:val="24"/>
          <w:szCs w:val="24"/>
        </w:rPr>
        <w:t xml:space="preserve"> </w:t>
      </w:r>
      <w:r w:rsidR="00E44C19">
        <w:rPr>
          <w:rFonts w:ascii="Times New Roman" w:hAnsi="Times New Roman" w:cs="Times New Roman"/>
          <w:sz w:val="24"/>
          <w:szCs w:val="24"/>
        </w:rPr>
        <w:t xml:space="preserve">фиг. </w:t>
      </w:r>
      <w:r w:rsidR="00E44C19" w:rsidRPr="00E44C19">
        <w:rPr>
          <w:rFonts w:ascii="Times New Roman" w:hAnsi="Times New Roman" w:cs="Times New Roman"/>
          <w:sz w:val="24"/>
          <w:szCs w:val="24"/>
          <w:lang w:val="en-US"/>
        </w:rPr>
        <w:t>V.</w:t>
      </w:r>
      <w:r w:rsidR="00E44C19">
        <w:rPr>
          <w:rFonts w:ascii="Times New Roman" w:hAnsi="Times New Roman" w:cs="Times New Roman"/>
          <w:sz w:val="24"/>
          <w:szCs w:val="24"/>
        </w:rPr>
        <w:t>4</w:t>
      </w:r>
      <w:r w:rsidR="00FE171E">
        <w:rPr>
          <w:rFonts w:ascii="Times New Roman" w:hAnsi="Times New Roman" w:cs="Times New Roman"/>
          <w:sz w:val="24"/>
          <w:szCs w:val="24"/>
        </w:rPr>
        <w:t>)</w:t>
      </w:r>
      <w:r w:rsidR="00E44C19">
        <w:rPr>
          <w:rFonts w:ascii="Times New Roman" w:hAnsi="Times New Roman" w:cs="Times New Roman"/>
          <w:sz w:val="24"/>
          <w:szCs w:val="24"/>
        </w:rPr>
        <w:t xml:space="preserve">. </w:t>
      </w:r>
    </w:p>
    <w:p w:rsidR="00950BDF" w:rsidRPr="00C4220F" w:rsidRDefault="001C72F7" w:rsidP="00C4220F">
      <w:pPr>
        <w:pStyle w:val="Caption"/>
        <w:rPr>
          <w:rFonts w:ascii="Times New Roman" w:hAnsi="Times New Roman"/>
          <w:szCs w:val="24"/>
        </w:rPr>
      </w:pPr>
      <w:bookmarkStart w:id="100" w:name="_Toc491990993"/>
      <w:bookmarkStart w:id="101" w:name="_Toc491994430"/>
      <w:bookmarkStart w:id="102" w:name="_Toc493240920"/>
      <w:r w:rsidRPr="00C4220F">
        <w:rPr>
          <w:rFonts w:ascii="Times New Roman" w:hAnsi="Times New Roman"/>
        </w:rPr>
        <w:t>Фигура V.</w:t>
      </w:r>
      <w:r w:rsidR="0097530B" w:rsidRPr="00C4220F">
        <w:rPr>
          <w:rFonts w:ascii="Times New Roman" w:hAnsi="Times New Roman"/>
        </w:rPr>
        <w:fldChar w:fldCharType="begin"/>
      </w:r>
      <w:r w:rsidR="00042F89" w:rsidRPr="00C4220F">
        <w:rPr>
          <w:rFonts w:ascii="Times New Roman" w:hAnsi="Times New Roman"/>
        </w:rPr>
        <w:instrText xml:space="preserve"> SEQ Фигура_V. \* ARABIC </w:instrText>
      </w:r>
      <w:r w:rsidR="0097530B" w:rsidRPr="00C4220F">
        <w:rPr>
          <w:rFonts w:ascii="Times New Roman" w:hAnsi="Times New Roman"/>
        </w:rPr>
        <w:fldChar w:fldCharType="separate"/>
      </w:r>
      <w:r w:rsidR="00F44EBF">
        <w:rPr>
          <w:rFonts w:ascii="Times New Roman" w:hAnsi="Times New Roman"/>
          <w:noProof/>
        </w:rPr>
        <w:t>4</w:t>
      </w:r>
      <w:r w:rsidR="0097530B" w:rsidRPr="00C4220F">
        <w:rPr>
          <w:rFonts w:ascii="Times New Roman" w:hAnsi="Times New Roman"/>
          <w:noProof/>
        </w:rPr>
        <w:fldChar w:fldCharType="end"/>
      </w:r>
      <w:r w:rsidR="00C4220F" w:rsidRPr="00C4220F">
        <w:rPr>
          <w:rFonts w:ascii="Times New Roman" w:hAnsi="Times New Roman"/>
          <w:noProof/>
        </w:rPr>
        <w:t xml:space="preserve">. </w:t>
      </w:r>
      <w:r w:rsidR="00950BDF" w:rsidRPr="00C4220F">
        <w:rPr>
          <w:rFonts w:ascii="Times New Roman" w:hAnsi="Times New Roman"/>
          <w:szCs w:val="24"/>
        </w:rPr>
        <w:t xml:space="preserve">Времево разпределение на </w:t>
      </w:r>
      <w:r w:rsidR="00686B74" w:rsidRPr="00C4220F">
        <w:rPr>
          <w:rFonts w:ascii="Times New Roman" w:hAnsi="Times New Roman"/>
          <w:szCs w:val="24"/>
        </w:rPr>
        <w:t xml:space="preserve">ексалираните </w:t>
      </w:r>
      <w:r w:rsidR="00950BDF" w:rsidRPr="00C4220F">
        <w:rPr>
          <w:rFonts w:ascii="Times New Roman" w:hAnsi="Times New Roman"/>
          <w:szCs w:val="24"/>
        </w:rPr>
        <w:t>капиталови разходи, млн. евро</w:t>
      </w:r>
      <w:bookmarkEnd w:id="100"/>
      <w:bookmarkEnd w:id="101"/>
      <w:bookmarkEnd w:id="102"/>
    </w:p>
    <w:p w:rsidR="00950BDF" w:rsidRPr="00950BDF" w:rsidRDefault="00950BDF" w:rsidP="00E44C19">
      <w:pPr>
        <w:spacing w:before="120" w:after="120" w:line="240" w:lineRule="auto"/>
        <w:jc w:val="center"/>
        <w:rPr>
          <w:rFonts w:ascii="Times New Roman" w:hAnsi="Times New Roman" w:cs="Times New Roman"/>
          <w:sz w:val="24"/>
          <w:szCs w:val="24"/>
        </w:rPr>
      </w:pPr>
      <w:r w:rsidRPr="00950BDF">
        <w:rPr>
          <w:rFonts w:ascii="Times New Roman" w:hAnsi="Times New Roman" w:cs="Times New Roman"/>
          <w:noProof/>
          <w:sz w:val="24"/>
          <w:szCs w:val="24"/>
        </w:rPr>
        <w:drawing>
          <wp:inline distT="0" distB="0" distL="0" distR="0">
            <wp:extent cx="5180747" cy="3016155"/>
            <wp:effectExtent l="19050" t="0" r="853" b="0"/>
            <wp:docPr id="2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3" cstate="print"/>
                    <a:srcRect/>
                    <a:stretch>
                      <a:fillRect/>
                    </a:stretch>
                  </pic:blipFill>
                  <pic:spPr bwMode="auto">
                    <a:xfrm>
                      <a:off x="0" y="0"/>
                      <a:ext cx="5192620" cy="3023067"/>
                    </a:xfrm>
                    <a:prstGeom prst="rect">
                      <a:avLst/>
                    </a:prstGeom>
                    <a:noFill/>
                    <a:ln w="9525">
                      <a:noFill/>
                      <a:miter lim="800000"/>
                      <a:headEnd/>
                      <a:tailEnd/>
                    </a:ln>
                  </pic:spPr>
                </pic:pic>
              </a:graphicData>
            </a:graphic>
          </wp:inline>
        </w:drawing>
      </w:r>
    </w:p>
    <w:p w:rsidR="00950BDF" w:rsidRPr="009E067D" w:rsidRDefault="00950BDF" w:rsidP="00E44C19">
      <w:pPr>
        <w:spacing w:before="120" w:after="120" w:line="240" w:lineRule="auto"/>
        <w:jc w:val="center"/>
        <w:rPr>
          <w:rFonts w:ascii="Times New Roman" w:hAnsi="Times New Roman" w:cs="Times New Roman"/>
          <w:sz w:val="20"/>
          <w:szCs w:val="24"/>
        </w:rPr>
      </w:pPr>
      <w:r w:rsidRPr="009E067D">
        <w:rPr>
          <w:rFonts w:ascii="Times New Roman" w:hAnsi="Times New Roman" w:cs="Times New Roman"/>
          <w:sz w:val="20"/>
          <w:szCs w:val="24"/>
        </w:rPr>
        <w:t>Източник: Съставена от авторите на основа на предоставена проектна документация.</w:t>
      </w:r>
    </w:p>
    <w:p w:rsidR="00950BDF" w:rsidRPr="009E067D" w:rsidRDefault="00950BDF" w:rsidP="00E44C19">
      <w:pPr>
        <w:pStyle w:val="Heading4"/>
        <w:spacing w:before="120" w:after="120" w:line="240" w:lineRule="auto"/>
        <w:rPr>
          <w:rFonts w:ascii="Times New Roman" w:hAnsi="Times New Roman" w:cs="Times New Roman"/>
          <w:color w:val="auto"/>
          <w:sz w:val="24"/>
          <w:szCs w:val="24"/>
        </w:rPr>
      </w:pPr>
      <w:r w:rsidRPr="009E067D">
        <w:rPr>
          <w:rFonts w:ascii="Times New Roman" w:hAnsi="Times New Roman" w:cs="Times New Roman"/>
          <w:color w:val="auto"/>
          <w:sz w:val="24"/>
          <w:szCs w:val="24"/>
        </w:rPr>
        <w:lastRenderedPageBreak/>
        <w:t>Основни допускания за експлоатация и натоварване на мощностите</w:t>
      </w:r>
    </w:p>
    <w:p w:rsidR="00950BDF" w:rsidRPr="001C72F7" w:rsidRDefault="00950BDF" w:rsidP="00E44C19">
      <w:pPr>
        <w:spacing w:before="120" w:after="120" w:line="240" w:lineRule="auto"/>
        <w:jc w:val="both"/>
        <w:rPr>
          <w:rFonts w:ascii="Times New Roman" w:hAnsi="Times New Roman" w:cs="Times New Roman"/>
          <w:sz w:val="24"/>
          <w:szCs w:val="24"/>
          <w:lang w:val="en-US"/>
        </w:rPr>
      </w:pPr>
      <w:r w:rsidRPr="00950BDF">
        <w:rPr>
          <w:rFonts w:ascii="Times New Roman" w:hAnsi="Times New Roman" w:cs="Times New Roman"/>
          <w:sz w:val="24"/>
          <w:szCs w:val="24"/>
        </w:rPr>
        <w:t xml:space="preserve">Основните допусканията в модела за експлоатацията и натоварването на мощностите са изведени от техническите проекти и разработки на конкретното оборудване и технологии (вж. </w:t>
      </w:r>
      <w:r w:rsidR="002C6255">
        <w:rPr>
          <w:rFonts w:ascii="Times New Roman" w:hAnsi="Times New Roman" w:cs="Times New Roman"/>
          <w:sz w:val="24"/>
          <w:szCs w:val="24"/>
        </w:rPr>
        <w:t xml:space="preserve">табл. </w:t>
      </w:r>
      <w:r w:rsidR="00E44C19" w:rsidRPr="00E44C19">
        <w:rPr>
          <w:rFonts w:ascii="Times New Roman" w:hAnsi="Times New Roman" w:cs="Times New Roman"/>
          <w:sz w:val="24"/>
          <w:szCs w:val="24"/>
          <w:lang w:val="en-US"/>
        </w:rPr>
        <w:t>V.</w:t>
      </w:r>
      <w:r w:rsidR="001C72F7">
        <w:rPr>
          <w:rFonts w:ascii="Times New Roman" w:hAnsi="Times New Roman" w:cs="Times New Roman"/>
          <w:sz w:val="24"/>
          <w:szCs w:val="24"/>
          <w:lang w:val="en-US"/>
        </w:rPr>
        <w:t>5</w:t>
      </w:r>
      <w:r w:rsidRPr="00950BDF">
        <w:rPr>
          <w:rFonts w:ascii="Times New Roman" w:hAnsi="Times New Roman" w:cs="Times New Roman"/>
          <w:sz w:val="24"/>
          <w:szCs w:val="24"/>
        </w:rPr>
        <w:t>). Те отразяват проектните намерения на изпълнителя преди реалната експлоатация на централата. Тези допускания се приети и се използват при финансовите изчисления за целия жизнен цикъл на проекта. В модела не са направени допускания за възможни подобрения на технологиите, които ще доведат до по-високи стойности на експлоатационните параметри</w:t>
      </w:r>
      <w:r w:rsidRPr="00E76951">
        <w:rPr>
          <w:rFonts w:ascii="Times New Roman" w:hAnsi="Times New Roman" w:cs="Times New Roman"/>
          <w:sz w:val="24"/>
          <w:szCs w:val="24"/>
        </w:rPr>
        <w:t>.</w:t>
      </w:r>
      <w:r w:rsidR="001C72F7" w:rsidRPr="00DB1A1E">
        <w:rPr>
          <w:rFonts w:ascii="Times New Roman" w:hAnsi="Times New Roman" w:cs="Times New Roman"/>
          <w:sz w:val="24"/>
          <w:szCs w:val="24"/>
        </w:rPr>
        <w:t xml:space="preserve">Следва да се подчертае, че моделът разглежда идеален сценарий, </w:t>
      </w:r>
      <w:r w:rsidR="00E76951">
        <w:rPr>
          <w:rFonts w:ascii="Times New Roman" w:hAnsi="Times New Roman" w:cs="Times New Roman"/>
          <w:sz w:val="24"/>
          <w:szCs w:val="24"/>
        </w:rPr>
        <w:t>при</w:t>
      </w:r>
      <w:r w:rsidR="001C72F7" w:rsidRPr="00DB1A1E">
        <w:rPr>
          <w:rFonts w:ascii="Times New Roman" w:hAnsi="Times New Roman" w:cs="Times New Roman"/>
          <w:sz w:val="24"/>
          <w:szCs w:val="24"/>
        </w:rPr>
        <w:t xml:space="preserve"> който цялата произведена от електроцентралата енергия се продава, при работа на централата на максимално възможно натоварване.</w:t>
      </w:r>
    </w:p>
    <w:p w:rsidR="00950BDF" w:rsidRPr="00C4220F" w:rsidRDefault="001C72F7" w:rsidP="00C4220F">
      <w:pPr>
        <w:pStyle w:val="Caption"/>
        <w:keepNext/>
        <w:rPr>
          <w:rFonts w:ascii="Times New Roman" w:hAnsi="Times New Roman"/>
          <w:szCs w:val="24"/>
        </w:rPr>
      </w:pPr>
      <w:bookmarkStart w:id="103" w:name="_Toc491990975"/>
      <w:bookmarkStart w:id="104" w:name="_Toc491994410"/>
      <w:bookmarkStart w:id="105" w:name="_Toc493240901"/>
      <w:r w:rsidRPr="00C4220F">
        <w:rPr>
          <w:rFonts w:ascii="Times New Roman" w:hAnsi="Times New Roman"/>
        </w:rPr>
        <w:t>Таблица</w:t>
      </w:r>
      <w:r w:rsidR="00C4220F" w:rsidRPr="00C4220F">
        <w:rPr>
          <w:rFonts w:ascii="Times New Roman" w:hAnsi="Times New Roman"/>
        </w:rPr>
        <w:t xml:space="preserve"> </w:t>
      </w:r>
      <w:r w:rsidRPr="00C4220F">
        <w:rPr>
          <w:rFonts w:ascii="Times New Roman" w:hAnsi="Times New Roman"/>
        </w:rPr>
        <w:t>V.</w:t>
      </w:r>
      <w:r w:rsidR="0097530B" w:rsidRPr="00C4220F">
        <w:rPr>
          <w:rFonts w:ascii="Times New Roman" w:hAnsi="Times New Roman"/>
        </w:rPr>
        <w:fldChar w:fldCharType="begin"/>
      </w:r>
      <w:r w:rsidR="00042F89" w:rsidRPr="00C4220F">
        <w:rPr>
          <w:rFonts w:ascii="Times New Roman" w:hAnsi="Times New Roman"/>
        </w:rPr>
        <w:instrText xml:space="preserve"> SEQ Таблица_V. \* ARABIC </w:instrText>
      </w:r>
      <w:r w:rsidR="0097530B" w:rsidRPr="00C4220F">
        <w:rPr>
          <w:rFonts w:ascii="Times New Roman" w:hAnsi="Times New Roman"/>
        </w:rPr>
        <w:fldChar w:fldCharType="separate"/>
      </w:r>
      <w:r w:rsidR="00F44EBF">
        <w:rPr>
          <w:rFonts w:ascii="Times New Roman" w:hAnsi="Times New Roman"/>
          <w:noProof/>
        </w:rPr>
        <w:t>5</w:t>
      </w:r>
      <w:r w:rsidR="0097530B" w:rsidRPr="00C4220F">
        <w:rPr>
          <w:rFonts w:ascii="Times New Roman" w:hAnsi="Times New Roman"/>
          <w:noProof/>
        </w:rPr>
        <w:fldChar w:fldCharType="end"/>
      </w:r>
      <w:r w:rsidR="00C4220F" w:rsidRPr="00C4220F">
        <w:rPr>
          <w:rFonts w:ascii="Times New Roman" w:hAnsi="Times New Roman"/>
          <w:noProof/>
        </w:rPr>
        <w:t xml:space="preserve">. </w:t>
      </w:r>
      <w:r w:rsidR="00950BDF" w:rsidRPr="00C4220F">
        <w:rPr>
          <w:rFonts w:ascii="Times New Roman" w:hAnsi="Times New Roman"/>
          <w:szCs w:val="24"/>
        </w:rPr>
        <w:t>Допускания за експлоатация и натоварване на мощностите на АЕЦ „Белене“</w:t>
      </w:r>
      <w:bookmarkEnd w:id="103"/>
      <w:bookmarkEnd w:id="104"/>
      <w:bookmarkEnd w:id="105"/>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087"/>
        <w:gridCol w:w="5201"/>
      </w:tblGrid>
      <w:tr w:rsidR="00950BDF" w:rsidRPr="00233DB8" w:rsidTr="0012265D">
        <w:trPr>
          <w:tblHeader/>
        </w:trPr>
        <w:tc>
          <w:tcPr>
            <w:tcW w:w="0" w:type="auto"/>
            <w:tcBorders>
              <w:top w:val="single" w:sz="12" w:space="0" w:color="auto"/>
              <w:bottom w:val="single" w:sz="12" w:space="0" w:color="auto"/>
              <w:right w:val="single" w:sz="12" w:space="0" w:color="auto"/>
            </w:tcBorders>
            <w:shd w:val="clear" w:color="auto" w:fill="D9D9D9"/>
            <w:vAlign w:val="center"/>
          </w:tcPr>
          <w:p w:rsidR="00950BDF" w:rsidRPr="00233DB8" w:rsidRDefault="00950BDF" w:rsidP="00E44C19">
            <w:pPr>
              <w:spacing w:after="0" w:line="240" w:lineRule="auto"/>
              <w:jc w:val="center"/>
              <w:rPr>
                <w:rFonts w:ascii="Times New Roman" w:hAnsi="Times New Roman" w:cs="Times New Roman"/>
                <w:sz w:val="18"/>
                <w:szCs w:val="20"/>
              </w:rPr>
            </w:pPr>
            <w:r w:rsidRPr="00233DB8">
              <w:rPr>
                <w:rFonts w:ascii="Times New Roman" w:hAnsi="Times New Roman" w:cs="Times New Roman"/>
                <w:sz w:val="18"/>
                <w:szCs w:val="20"/>
              </w:rPr>
              <w:t>Параметър</w:t>
            </w:r>
          </w:p>
        </w:tc>
        <w:tc>
          <w:tcPr>
            <w:tcW w:w="0" w:type="auto"/>
            <w:tcBorders>
              <w:left w:val="single" w:sz="12" w:space="0" w:color="auto"/>
              <w:bottom w:val="single" w:sz="12" w:space="0" w:color="auto"/>
            </w:tcBorders>
            <w:shd w:val="clear" w:color="auto" w:fill="D9D9D9"/>
            <w:vAlign w:val="center"/>
          </w:tcPr>
          <w:p w:rsidR="00950BDF" w:rsidRPr="00233DB8" w:rsidRDefault="00950BDF" w:rsidP="00E44C19">
            <w:pPr>
              <w:spacing w:after="0" w:line="240" w:lineRule="auto"/>
              <w:jc w:val="center"/>
              <w:rPr>
                <w:rFonts w:ascii="Times New Roman" w:hAnsi="Times New Roman" w:cs="Times New Roman"/>
                <w:sz w:val="18"/>
                <w:szCs w:val="20"/>
              </w:rPr>
            </w:pPr>
            <w:r w:rsidRPr="00233DB8">
              <w:rPr>
                <w:rFonts w:ascii="Times New Roman" w:hAnsi="Times New Roman" w:cs="Times New Roman"/>
                <w:sz w:val="18"/>
                <w:szCs w:val="20"/>
              </w:rPr>
              <w:t>Допускане</w:t>
            </w:r>
          </w:p>
        </w:tc>
      </w:tr>
      <w:tr w:rsidR="00950BDF" w:rsidRPr="00233DB8" w:rsidTr="0012265D">
        <w:tc>
          <w:tcPr>
            <w:tcW w:w="0" w:type="auto"/>
            <w:tcBorders>
              <w:top w:val="single" w:sz="12" w:space="0" w:color="auto"/>
              <w:bottom w:val="single" w:sz="4" w:space="0" w:color="auto"/>
              <w:right w:val="single" w:sz="12" w:space="0" w:color="auto"/>
            </w:tcBorders>
            <w:shd w:val="clear" w:color="auto" w:fill="auto"/>
            <w:vAlign w:val="center"/>
          </w:tcPr>
          <w:p w:rsidR="00950BDF" w:rsidRPr="00233DB8" w:rsidRDefault="00950BDF" w:rsidP="00E44C19">
            <w:pPr>
              <w:spacing w:after="0" w:line="240" w:lineRule="auto"/>
              <w:rPr>
                <w:rFonts w:ascii="Times New Roman" w:hAnsi="Times New Roman" w:cs="Times New Roman"/>
                <w:sz w:val="18"/>
                <w:szCs w:val="20"/>
              </w:rPr>
            </w:pPr>
            <w:r w:rsidRPr="00233DB8">
              <w:rPr>
                <w:rFonts w:ascii="Times New Roman" w:hAnsi="Times New Roman" w:cs="Times New Roman"/>
                <w:sz w:val="18"/>
                <w:szCs w:val="20"/>
              </w:rPr>
              <w:t>Продължителност на цикъла на работа на Блок 1 с едно зареждане на гориво</w:t>
            </w:r>
          </w:p>
        </w:tc>
        <w:tc>
          <w:tcPr>
            <w:tcW w:w="0" w:type="auto"/>
            <w:tcBorders>
              <w:top w:val="single" w:sz="12" w:space="0" w:color="auto"/>
              <w:left w:val="single" w:sz="12" w:space="0" w:color="auto"/>
              <w:bottom w:val="single" w:sz="4" w:space="0" w:color="auto"/>
            </w:tcBorders>
            <w:shd w:val="clear" w:color="auto" w:fill="auto"/>
            <w:vAlign w:val="center"/>
          </w:tcPr>
          <w:p w:rsidR="00950BDF" w:rsidRPr="00233DB8" w:rsidRDefault="00950BDF" w:rsidP="00E44C19">
            <w:pPr>
              <w:spacing w:after="0" w:line="240" w:lineRule="auto"/>
              <w:jc w:val="center"/>
              <w:rPr>
                <w:rFonts w:ascii="Times New Roman" w:hAnsi="Times New Roman" w:cs="Times New Roman"/>
                <w:sz w:val="18"/>
                <w:szCs w:val="20"/>
              </w:rPr>
            </w:pPr>
            <w:r w:rsidRPr="00233DB8">
              <w:rPr>
                <w:rFonts w:ascii="Times New Roman" w:hAnsi="Times New Roman" w:cs="Times New Roman"/>
                <w:sz w:val="18"/>
                <w:szCs w:val="20"/>
              </w:rPr>
              <w:t>4 години</w:t>
            </w:r>
          </w:p>
        </w:tc>
      </w:tr>
      <w:tr w:rsidR="00950BDF" w:rsidRPr="00233DB8" w:rsidTr="0012265D">
        <w:tc>
          <w:tcPr>
            <w:tcW w:w="0" w:type="auto"/>
            <w:tcBorders>
              <w:top w:val="single" w:sz="4" w:space="0" w:color="auto"/>
              <w:bottom w:val="single" w:sz="4" w:space="0" w:color="auto"/>
              <w:right w:val="single" w:sz="12" w:space="0" w:color="auto"/>
            </w:tcBorders>
            <w:shd w:val="clear" w:color="auto" w:fill="auto"/>
            <w:vAlign w:val="center"/>
          </w:tcPr>
          <w:p w:rsidR="00950BDF" w:rsidRPr="00233DB8" w:rsidRDefault="00950BDF" w:rsidP="00E44C19">
            <w:pPr>
              <w:spacing w:after="0" w:line="240" w:lineRule="auto"/>
              <w:rPr>
                <w:rFonts w:ascii="Times New Roman" w:hAnsi="Times New Roman" w:cs="Times New Roman"/>
                <w:sz w:val="18"/>
                <w:szCs w:val="20"/>
              </w:rPr>
            </w:pPr>
            <w:r w:rsidRPr="00233DB8">
              <w:rPr>
                <w:rFonts w:ascii="Times New Roman" w:hAnsi="Times New Roman" w:cs="Times New Roman"/>
                <w:sz w:val="18"/>
                <w:szCs w:val="20"/>
              </w:rPr>
              <w:t>Продължителност на цикъла на работа на Блок 2 с едно зареждане на гориво</w:t>
            </w:r>
          </w:p>
        </w:tc>
        <w:tc>
          <w:tcPr>
            <w:tcW w:w="0" w:type="auto"/>
            <w:tcBorders>
              <w:top w:val="single" w:sz="4" w:space="0" w:color="auto"/>
              <w:left w:val="single" w:sz="12" w:space="0" w:color="auto"/>
            </w:tcBorders>
            <w:shd w:val="clear" w:color="auto" w:fill="auto"/>
            <w:vAlign w:val="center"/>
          </w:tcPr>
          <w:p w:rsidR="00950BDF" w:rsidRPr="00233DB8" w:rsidRDefault="00950BDF" w:rsidP="00E44C19">
            <w:pPr>
              <w:spacing w:after="0" w:line="240" w:lineRule="auto"/>
              <w:jc w:val="center"/>
              <w:rPr>
                <w:rFonts w:ascii="Times New Roman" w:hAnsi="Times New Roman" w:cs="Times New Roman"/>
                <w:sz w:val="18"/>
                <w:szCs w:val="20"/>
              </w:rPr>
            </w:pPr>
            <w:r w:rsidRPr="00233DB8">
              <w:rPr>
                <w:rFonts w:ascii="Times New Roman" w:hAnsi="Times New Roman" w:cs="Times New Roman"/>
                <w:sz w:val="18"/>
                <w:szCs w:val="20"/>
              </w:rPr>
              <w:t>4 години</w:t>
            </w:r>
          </w:p>
        </w:tc>
      </w:tr>
      <w:tr w:rsidR="00950BDF" w:rsidRPr="00233DB8" w:rsidTr="0012265D">
        <w:tc>
          <w:tcPr>
            <w:tcW w:w="0" w:type="auto"/>
            <w:tcBorders>
              <w:top w:val="single" w:sz="4" w:space="0" w:color="auto"/>
              <w:bottom w:val="single" w:sz="4" w:space="0" w:color="auto"/>
              <w:right w:val="single" w:sz="12" w:space="0" w:color="auto"/>
            </w:tcBorders>
            <w:shd w:val="clear" w:color="auto" w:fill="auto"/>
            <w:vAlign w:val="center"/>
          </w:tcPr>
          <w:p w:rsidR="00950BDF" w:rsidRPr="00233DB8" w:rsidRDefault="00950BDF" w:rsidP="00E44C19">
            <w:pPr>
              <w:spacing w:after="0" w:line="240" w:lineRule="auto"/>
              <w:rPr>
                <w:rFonts w:ascii="Times New Roman" w:hAnsi="Times New Roman" w:cs="Times New Roman"/>
                <w:sz w:val="18"/>
                <w:szCs w:val="20"/>
              </w:rPr>
            </w:pPr>
            <w:r w:rsidRPr="00233DB8">
              <w:rPr>
                <w:rFonts w:ascii="Times New Roman" w:hAnsi="Times New Roman" w:cs="Times New Roman"/>
                <w:sz w:val="18"/>
                <w:szCs w:val="20"/>
              </w:rPr>
              <w:t>Продължителност на краткосрочни прекъсвания на работа на Блок 1 (с цел частична подмяна на гориво и краткотрайни ремонти)</w:t>
            </w:r>
          </w:p>
        </w:tc>
        <w:tc>
          <w:tcPr>
            <w:tcW w:w="0" w:type="auto"/>
            <w:tcBorders>
              <w:left w:val="single" w:sz="12" w:space="0" w:color="auto"/>
            </w:tcBorders>
            <w:shd w:val="clear" w:color="auto" w:fill="auto"/>
            <w:vAlign w:val="center"/>
          </w:tcPr>
          <w:p w:rsidR="00950BDF" w:rsidRPr="00233DB8" w:rsidRDefault="00950BDF" w:rsidP="00E44C19">
            <w:pPr>
              <w:spacing w:after="0" w:line="240" w:lineRule="auto"/>
              <w:jc w:val="center"/>
              <w:rPr>
                <w:rFonts w:ascii="Times New Roman" w:hAnsi="Times New Roman" w:cs="Times New Roman"/>
                <w:sz w:val="18"/>
                <w:szCs w:val="20"/>
              </w:rPr>
            </w:pPr>
            <w:r w:rsidRPr="00233DB8">
              <w:rPr>
                <w:rFonts w:ascii="Times New Roman" w:hAnsi="Times New Roman" w:cs="Times New Roman"/>
                <w:sz w:val="18"/>
                <w:szCs w:val="20"/>
              </w:rPr>
              <w:t>20 дни</w:t>
            </w:r>
          </w:p>
        </w:tc>
      </w:tr>
      <w:tr w:rsidR="00950BDF" w:rsidRPr="00233DB8" w:rsidTr="0012265D">
        <w:tc>
          <w:tcPr>
            <w:tcW w:w="0" w:type="auto"/>
            <w:tcBorders>
              <w:top w:val="single" w:sz="4" w:space="0" w:color="auto"/>
              <w:bottom w:val="single" w:sz="4" w:space="0" w:color="auto"/>
              <w:right w:val="single" w:sz="12" w:space="0" w:color="auto"/>
            </w:tcBorders>
            <w:shd w:val="clear" w:color="auto" w:fill="auto"/>
            <w:vAlign w:val="center"/>
          </w:tcPr>
          <w:p w:rsidR="00950BDF" w:rsidRPr="00233DB8" w:rsidRDefault="00950BDF" w:rsidP="00E44C19">
            <w:pPr>
              <w:spacing w:after="0" w:line="240" w:lineRule="auto"/>
              <w:rPr>
                <w:rFonts w:ascii="Times New Roman" w:hAnsi="Times New Roman" w:cs="Times New Roman"/>
                <w:sz w:val="18"/>
                <w:szCs w:val="20"/>
              </w:rPr>
            </w:pPr>
            <w:r w:rsidRPr="00233DB8">
              <w:rPr>
                <w:rFonts w:ascii="Times New Roman" w:hAnsi="Times New Roman" w:cs="Times New Roman"/>
                <w:sz w:val="18"/>
                <w:szCs w:val="20"/>
              </w:rPr>
              <w:t>Години, в които се извършват краткосрочни прекъсвания на работата на Блок 1</w:t>
            </w:r>
          </w:p>
        </w:tc>
        <w:tc>
          <w:tcPr>
            <w:tcW w:w="0" w:type="auto"/>
            <w:tcBorders>
              <w:left w:val="single" w:sz="12" w:space="0" w:color="auto"/>
            </w:tcBorders>
            <w:shd w:val="clear" w:color="auto" w:fill="auto"/>
            <w:vAlign w:val="center"/>
          </w:tcPr>
          <w:p w:rsidR="00950BDF" w:rsidRPr="00233DB8" w:rsidRDefault="00950BDF" w:rsidP="00E44C19">
            <w:pPr>
              <w:spacing w:after="0" w:line="240" w:lineRule="auto"/>
              <w:jc w:val="center"/>
              <w:rPr>
                <w:rFonts w:ascii="Times New Roman" w:hAnsi="Times New Roman" w:cs="Times New Roman"/>
                <w:sz w:val="18"/>
                <w:szCs w:val="20"/>
              </w:rPr>
            </w:pPr>
            <w:r w:rsidRPr="00233DB8">
              <w:rPr>
                <w:rFonts w:ascii="Times New Roman" w:eastAsia="Times New Roman" w:hAnsi="Times New Roman" w:cs="Times New Roman"/>
                <w:bCs/>
                <w:color w:val="000000"/>
                <w:sz w:val="18"/>
                <w:szCs w:val="20"/>
              </w:rPr>
              <w:t>1, 2, 3, 5, 6, 7, 9, 11, 13, 14, 15, 17, 18, 19, 21, 22, 23, 25, 26, 27, 29, 31, 33, 34, 35, 37, 38, 39, 41, 42, 43, 45, 46, 47, 49, 51, 53, 54, 55, 57, 58, 59 и 60</w:t>
            </w:r>
            <w:r w:rsidRPr="00233DB8">
              <w:rPr>
                <w:rFonts w:ascii="Times New Roman" w:hAnsi="Times New Roman" w:cs="Times New Roman"/>
                <w:sz w:val="18"/>
                <w:szCs w:val="20"/>
              </w:rPr>
              <w:t xml:space="preserve"> година от 60-годишния период на експлоатация</w:t>
            </w:r>
          </w:p>
        </w:tc>
      </w:tr>
      <w:tr w:rsidR="00950BDF" w:rsidRPr="00233DB8" w:rsidTr="0012265D">
        <w:tc>
          <w:tcPr>
            <w:tcW w:w="0" w:type="auto"/>
            <w:tcBorders>
              <w:top w:val="single" w:sz="4" w:space="0" w:color="auto"/>
              <w:bottom w:val="single" w:sz="4" w:space="0" w:color="auto"/>
              <w:right w:val="single" w:sz="12" w:space="0" w:color="auto"/>
            </w:tcBorders>
            <w:shd w:val="clear" w:color="auto" w:fill="auto"/>
            <w:vAlign w:val="center"/>
          </w:tcPr>
          <w:p w:rsidR="00950BDF" w:rsidRPr="00233DB8" w:rsidRDefault="00950BDF" w:rsidP="00E44C19">
            <w:pPr>
              <w:spacing w:after="0" w:line="240" w:lineRule="auto"/>
              <w:rPr>
                <w:rFonts w:ascii="Times New Roman" w:hAnsi="Times New Roman" w:cs="Times New Roman"/>
                <w:sz w:val="18"/>
                <w:szCs w:val="20"/>
              </w:rPr>
            </w:pPr>
            <w:r w:rsidRPr="00233DB8">
              <w:rPr>
                <w:rFonts w:ascii="Times New Roman" w:hAnsi="Times New Roman" w:cs="Times New Roman"/>
                <w:sz w:val="18"/>
                <w:szCs w:val="20"/>
              </w:rPr>
              <w:t>Продължителност на средносрочни прекъсвания на работа на Блок 1 (с цел частична подмяна на гориво и средносрочни ремонти)</w:t>
            </w:r>
          </w:p>
        </w:tc>
        <w:tc>
          <w:tcPr>
            <w:tcW w:w="0" w:type="auto"/>
            <w:tcBorders>
              <w:left w:val="single" w:sz="12" w:space="0" w:color="auto"/>
            </w:tcBorders>
            <w:shd w:val="clear" w:color="auto" w:fill="auto"/>
            <w:vAlign w:val="center"/>
          </w:tcPr>
          <w:p w:rsidR="00950BDF" w:rsidRPr="00233DB8" w:rsidRDefault="00950BDF" w:rsidP="00E44C19">
            <w:pPr>
              <w:spacing w:after="0" w:line="240" w:lineRule="auto"/>
              <w:jc w:val="center"/>
              <w:rPr>
                <w:rFonts w:ascii="Times New Roman" w:hAnsi="Times New Roman" w:cs="Times New Roman"/>
                <w:sz w:val="18"/>
                <w:szCs w:val="20"/>
              </w:rPr>
            </w:pPr>
            <w:r w:rsidRPr="00233DB8">
              <w:rPr>
                <w:rFonts w:ascii="Times New Roman" w:hAnsi="Times New Roman" w:cs="Times New Roman"/>
                <w:sz w:val="18"/>
                <w:szCs w:val="20"/>
              </w:rPr>
              <w:t>40 дни</w:t>
            </w:r>
          </w:p>
        </w:tc>
      </w:tr>
      <w:tr w:rsidR="00950BDF" w:rsidRPr="00233DB8" w:rsidTr="0012265D">
        <w:tc>
          <w:tcPr>
            <w:tcW w:w="0" w:type="auto"/>
            <w:tcBorders>
              <w:top w:val="single" w:sz="4" w:space="0" w:color="auto"/>
              <w:bottom w:val="single" w:sz="4" w:space="0" w:color="auto"/>
              <w:right w:val="single" w:sz="12" w:space="0" w:color="auto"/>
            </w:tcBorders>
            <w:shd w:val="clear" w:color="auto" w:fill="auto"/>
            <w:vAlign w:val="center"/>
          </w:tcPr>
          <w:p w:rsidR="00950BDF" w:rsidRPr="00233DB8" w:rsidRDefault="00950BDF" w:rsidP="00E44C19">
            <w:pPr>
              <w:spacing w:after="0" w:line="240" w:lineRule="auto"/>
              <w:rPr>
                <w:rFonts w:ascii="Times New Roman" w:hAnsi="Times New Roman" w:cs="Times New Roman"/>
                <w:sz w:val="18"/>
                <w:szCs w:val="20"/>
              </w:rPr>
            </w:pPr>
            <w:r w:rsidRPr="00233DB8">
              <w:rPr>
                <w:rFonts w:ascii="Times New Roman" w:hAnsi="Times New Roman" w:cs="Times New Roman"/>
                <w:sz w:val="18"/>
                <w:szCs w:val="20"/>
              </w:rPr>
              <w:t>Години, в които се извършват средносрочни прекъсвания на работата на Блок 1</w:t>
            </w:r>
          </w:p>
        </w:tc>
        <w:tc>
          <w:tcPr>
            <w:tcW w:w="0" w:type="auto"/>
            <w:tcBorders>
              <w:left w:val="single" w:sz="12" w:space="0" w:color="auto"/>
            </w:tcBorders>
            <w:shd w:val="clear" w:color="auto" w:fill="auto"/>
            <w:vAlign w:val="center"/>
          </w:tcPr>
          <w:p w:rsidR="00950BDF" w:rsidRPr="00233DB8" w:rsidRDefault="00950BDF" w:rsidP="00E44C19">
            <w:pPr>
              <w:spacing w:after="0" w:line="240" w:lineRule="auto"/>
              <w:jc w:val="center"/>
              <w:rPr>
                <w:rFonts w:ascii="Times New Roman" w:eastAsia="Times New Roman" w:hAnsi="Times New Roman" w:cs="Times New Roman"/>
                <w:bCs/>
                <w:color w:val="000000"/>
                <w:sz w:val="18"/>
                <w:szCs w:val="20"/>
              </w:rPr>
            </w:pPr>
            <w:r w:rsidRPr="00233DB8">
              <w:rPr>
                <w:rFonts w:ascii="Times New Roman" w:eastAsia="Times New Roman" w:hAnsi="Times New Roman" w:cs="Times New Roman"/>
                <w:bCs/>
                <w:color w:val="000000"/>
                <w:sz w:val="18"/>
                <w:szCs w:val="20"/>
              </w:rPr>
              <w:t>4, 8, 12, 16, 24, 28, 32, 36, 44, 48, 52 и 56 година от 60-годишния период на експлоатация</w:t>
            </w:r>
          </w:p>
        </w:tc>
      </w:tr>
      <w:tr w:rsidR="00950BDF" w:rsidRPr="00233DB8" w:rsidTr="0012265D">
        <w:tc>
          <w:tcPr>
            <w:tcW w:w="0" w:type="auto"/>
            <w:tcBorders>
              <w:top w:val="single" w:sz="4" w:space="0" w:color="auto"/>
              <w:bottom w:val="single" w:sz="4" w:space="0" w:color="auto"/>
              <w:right w:val="single" w:sz="12" w:space="0" w:color="auto"/>
            </w:tcBorders>
            <w:shd w:val="clear" w:color="auto" w:fill="auto"/>
            <w:vAlign w:val="center"/>
          </w:tcPr>
          <w:p w:rsidR="00950BDF" w:rsidRPr="00233DB8" w:rsidRDefault="00950BDF" w:rsidP="00E44C19">
            <w:pPr>
              <w:spacing w:after="0" w:line="240" w:lineRule="auto"/>
              <w:rPr>
                <w:rFonts w:ascii="Times New Roman" w:hAnsi="Times New Roman" w:cs="Times New Roman"/>
                <w:sz w:val="18"/>
                <w:szCs w:val="20"/>
              </w:rPr>
            </w:pPr>
            <w:r w:rsidRPr="00233DB8">
              <w:rPr>
                <w:rFonts w:ascii="Times New Roman" w:hAnsi="Times New Roman" w:cs="Times New Roman"/>
                <w:sz w:val="18"/>
                <w:szCs w:val="20"/>
              </w:rPr>
              <w:t>Продължителност на дългосрочни прекъсвания на работа на Блок 1 (с цел пълна подмяна на горивото и капиталов ремонт)</w:t>
            </w:r>
          </w:p>
        </w:tc>
        <w:tc>
          <w:tcPr>
            <w:tcW w:w="0" w:type="auto"/>
            <w:tcBorders>
              <w:left w:val="single" w:sz="12" w:space="0" w:color="auto"/>
            </w:tcBorders>
            <w:shd w:val="clear" w:color="auto" w:fill="auto"/>
            <w:vAlign w:val="center"/>
          </w:tcPr>
          <w:p w:rsidR="00950BDF" w:rsidRPr="00233DB8" w:rsidRDefault="00950BDF" w:rsidP="00E44C19">
            <w:pPr>
              <w:spacing w:after="0" w:line="240" w:lineRule="auto"/>
              <w:jc w:val="center"/>
              <w:rPr>
                <w:rFonts w:ascii="Times New Roman" w:hAnsi="Times New Roman" w:cs="Times New Roman"/>
                <w:sz w:val="18"/>
                <w:szCs w:val="20"/>
              </w:rPr>
            </w:pPr>
            <w:r w:rsidRPr="00233DB8">
              <w:rPr>
                <w:rFonts w:ascii="Times New Roman" w:hAnsi="Times New Roman" w:cs="Times New Roman"/>
                <w:sz w:val="18"/>
                <w:szCs w:val="20"/>
              </w:rPr>
              <w:t>60 дни</w:t>
            </w:r>
          </w:p>
        </w:tc>
      </w:tr>
      <w:tr w:rsidR="00950BDF" w:rsidRPr="00233DB8" w:rsidTr="0012265D">
        <w:tc>
          <w:tcPr>
            <w:tcW w:w="0" w:type="auto"/>
            <w:tcBorders>
              <w:top w:val="single" w:sz="4" w:space="0" w:color="auto"/>
              <w:bottom w:val="single" w:sz="4" w:space="0" w:color="auto"/>
              <w:right w:val="single" w:sz="12" w:space="0" w:color="auto"/>
            </w:tcBorders>
            <w:shd w:val="clear" w:color="auto" w:fill="auto"/>
            <w:vAlign w:val="center"/>
          </w:tcPr>
          <w:p w:rsidR="00950BDF" w:rsidRPr="00233DB8" w:rsidRDefault="00950BDF" w:rsidP="00E44C19">
            <w:pPr>
              <w:spacing w:after="0" w:line="240" w:lineRule="auto"/>
              <w:rPr>
                <w:rFonts w:ascii="Times New Roman" w:hAnsi="Times New Roman" w:cs="Times New Roman"/>
                <w:sz w:val="18"/>
                <w:szCs w:val="20"/>
              </w:rPr>
            </w:pPr>
            <w:r w:rsidRPr="00233DB8">
              <w:rPr>
                <w:rFonts w:ascii="Times New Roman" w:hAnsi="Times New Roman" w:cs="Times New Roman"/>
                <w:sz w:val="18"/>
                <w:szCs w:val="20"/>
              </w:rPr>
              <w:t>Години, в които се извършват дългосрочни прекъсвания на работата на Блок 1</w:t>
            </w:r>
          </w:p>
        </w:tc>
        <w:tc>
          <w:tcPr>
            <w:tcW w:w="0" w:type="auto"/>
            <w:tcBorders>
              <w:left w:val="single" w:sz="12" w:space="0" w:color="auto"/>
            </w:tcBorders>
            <w:shd w:val="clear" w:color="auto" w:fill="auto"/>
            <w:vAlign w:val="center"/>
          </w:tcPr>
          <w:p w:rsidR="00950BDF" w:rsidRPr="00233DB8" w:rsidRDefault="00950BDF" w:rsidP="00E44C19">
            <w:pPr>
              <w:spacing w:after="0" w:line="240" w:lineRule="auto"/>
              <w:jc w:val="center"/>
              <w:rPr>
                <w:rFonts w:ascii="Times New Roman" w:hAnsi="Times New Roman" w:cs="Times New Roman"/>
                <w:sz w:val="18"/>
                <w:szCs w:val="20"/>
              </w:rPr>
            </w:pPr>
            <w:r w:rsidRPr="00233DB8">
              <w:rPr>
                <w:rFonts w:ascii="Times New Roman" w:hAnsi="Times New Roman" w:cs="Times New Roman"/>
                <w:sz w:val="18"/>
                <w:szCs w:val="20"/>
              </w:rPr>
              <w:t>10, 20, 30, 40, 50 година от 60-годишния период на експлоатация</w:t>
            </w:r>
          </w:p>
        </w:tc>
      </w:tr>
      <w:tr w:rsidR="00950BDF" w:rsidRPr="00233DB8" w:rsidTr="0012265D">
        <w:tc>
          <w:tcPr>
            <w:tcW w:w="0" w:type="auto"/>
            <w:tcBorders>
              <w:top w:val="single" w:sz="4" w:space="0" w:color="auto"/>
              <w:bottom w:val="single" w:sz="4" w:space="0" w:color="auto"/>
              <w:right w:val="single" w:sz="12" w:space="0" w:color="auto"/>
            </w:tcBorders>
            <w:shd w:val="clear" w:color="auto" w:fill="auto"/>
            <w:vAlign w:val="center"/>
          </w:tcPr>
          <w:p w:rsidR="00950BDF" w:rsidRPr="00233DB8" w:rsidRDefault="00950BDF" w:rsidP="00E44C19">
            <w:pPr>
              <w:spacing w:after="0" w:line="240" w:lineRule="auto"/>
              <w:rPr>
                <w:rFonts w:ascii="Times New Roman" w:hAnsi="Times New Roman" w:cs="Times New Roman"/>
                <w:sz w:val="18"/>
                <w:szCs w:val="20"/>
              </w:rPr>
            </w:pPr>
            <w:r w:rsidRPr="00233DB8">
              <w:rPr>
                <w:rFonts w:ascii="Times New Roman" w:hAnsi="Times New Roman" w:cs="Times New Roman"/>
                <w:sz w:val="18"/>
                <w:szCs w:val="20"/>
              </w:rPr>
              <w:t>Продължителност на краткосрочни прекъсвания на работа на Блок 2 (с цел частична подмяна на гориво и краткотрайни ремонти)</w:t>
            </w:r>
          </w:p>
        </w:tc>
        <w:tc>
          <w:tcPr>
            <w:tcW w:w="0" w:type="auto"/>
            <w:tcBorders>
              <w:left w:val="single" w:sz="12" w:space="0" w:color="auto"/>
            </w:tcBorders>
            <w:shd w:val="clear" w:color="auto" w:fill="auto"/>
            <w:vAlign w:val="center"/>
          </w:tcPr>
          <w:p w:rsidR="00950BDF" w:rsidRPr="00233DB8" w:rsidRDefault="00950BDF" w:rsidP="00E44C19">
            <w:pPr>
              <w:spacing w:after="0" w:line="240" w:lineRule="auto"/>
              <w:jc w:val="center"/>
              <w:rPr>
                <w:rFonts w:ascii="Times New Roman" w:hAnsi="Times New Roman" w:cs="Times New Roman"/>
                <w:sz w:val="18"/>
                <w:szCs w:val="20"/>
              </w:rPr>
            </w:pPr>
            <w:r w:rsidRPr="00233DB8">
              <w:rPr>
                <w:rFonts w:ascii="Times New Roman" w:hAnsi="Times New Roman" w:cs="Times New Roman"/>
                <w:sz w:val="18"/>
                <w:szCs w:val="20"/>
              </w:rPr>
              <w:t>20 дни</w:t>
            </w:r>
          </w:p>
        </w:tc>
      </w:tr>
      <w:tr w:rsidR="00950BDF" w:rsidRPr="00233DB8" w:rsidTr="0012265D">
        <w:tc>
          <w:tcPr>
            <w:tcW w:w="0" w:type="auto"/>
            <w:tcBorders>
              <w:top w:val="single" w:sz="4" w:space="0" w:color="auto"/>
              <w:bottom w:val="single" w:sz="4" w:space="0" w:color="auto"/>
              <w:right w:val="single" w:sz="12" w:space="0" w:color="auto"/>
            </w:tcBorders>
            <w:shd w:val="clear" w:color="auto" w:fill="auto"/>
            <w:vAlign w:val="center"/>
          </w:tcPr>
          <w:p w:rsidR="00950BDF" w:rsidRPr="00233DB8" w:rsidRDefault="00950BDF" w:rsidP="00E44C19">
            <w:pPr>
              <w:spacing w:after="0" w:line="240" w:lineRule="auto"/>
              <w:rPr>
                <w:rFonts w:ascii="Times New Roman" w:hAnsi="Times New Roman" w:cs="Times New Roman"/>
                <w:sz w:val="18"/>
                <w:szCs w:val="20"/>
              </w:rPr>
            </w:pPr>
            <w:r w:rsidRPr="00233DB8">
              <w:rPr>
                <w:rFonts w:ascii="Times New Roman" w:hAnsi="Times New Roman" w:cs="Times New Roman"/>
                <w:sz w:val="18"/>
                <w:szCs w:val="20"/>
              </w:rPr>
              <w:t>Години, в които се извършват краткосрочни прекъсвания на работата на Блок 2</w:t>
            </w:r>
          </w:p>
        </w:tc>
        <w:tc>
          <w:tcPr>
            <w:tcW w:w="0" w:type="auto"/>
            <w:tcBorders>
              <w:left w:val="single" w:sz="12" w:space="0" w:color="auto"/>
            </w:tcBorders>
            <w:shd w:val="clear" w:color="auto" w:fill="auto"/>
            <w:vAlign w:val="center"/>
          </w:tcPr>
          <w:p w:rsidR="00950BDF" w:rsidRPr="00233DB8" w:rsidRDefault="00950BDF" w:rsidP="00E44C19">
            <w:pPr>
              <w:spacing w:after="0" w:line="240" w:lineRule="auto"/>
              <w:jc w:val="center"/>
              <w:rPr>
                <w:rFonts w:ascii="Times New Roman" w:hAnsi="Times New Roman" w:cs="Times New Roman"/>
                <w:sz w:val="18"/>
                <w:szCs w:val="20"/>
              </w:rPr>
            </w:pPr>
            <w:r w:rsidRPr="00233DB8">
              <w:rPr>
                <w:rFonts w:ascii="Times New Roman" w:eastAsia="Times New Roman" w:hAnsi="Times New Roman" w:cs="Times New Roman"/>
                <w:bCs/>
                <w:color w:val="000000"/>
                <w:sz w:val="18"/>
                <w:szCs w:val="20"/>
              </w:rPr>
              <w:t xml:space="preserve">2, 3, 4, 6, 7, 8, 10, 12, 14, 15, 16, 18, 19, 20, 22, 23, 24, 26, 27, 28, 30, 32, 34, 35, 36, 38, 39, 40, 42, 43, 44, 46, 47, 48, 50, 52, 54, 55, 56, 58, 59, 60 и 61 </w:t>
            </w:r>
            <w:r w:rsidRPr="00233DB8">
              <w:rPr>
                <w:rFonts w:ascii="Times New Roman" w:hAnsi="Times New Roman" w:cs="Times New Roman"/>
                <w:sz w:val="18"/>
                <w:szCs w:val="20"/>
              </w:rPr>
              <w:t>година от 60-годишния период на експлоатация</w:t>
            </w:r>
          </w:p>
        </w:tc>
      </w:tr>
      <w:tr w:rsidR="00950BDF" w:rsidRPr="00233DB8" w:rsidTr="0012265D">
        <w:tc>
          <w:tcPr>
            <w:tcW w:w="0" w:type="auto"/>
            <w:tcBorders>
              <w:top w:val="single" w:sz="4" w:space="0" w:color="auto"/>
              <w:bottom w:val="single" w:sz="4" w:space="0" w:color="auto"/>
              <w:right w:val="single" w:sz="12" w:space="0" w:color="auto"/>
            </w:tcBorders>
            <w:shd w:val="clear" w:color="auto" w:fill="auto"/>
            <w:vAlign w:val="center"/>
          </w:tcPr>
          <w:p w:rsidR="00950BDF" w:rsidRPr="00233DB8" w:rsidRDefault="00950BDF" w:rsidP="00E44C19">
            <w:pPr>
              <w:spacing w:after="0" w:line="240" w:lineRule="auto"/>
              <w:rPr>
                <w:rFonts w:ascii="Times New Roman" w:hAnsi="Times New Roman" w:cs="Times New Roman"/>
                <w:sz w:val="18"/>
                <w:szCs w:val="20"/>
              </w:rPr>
            </w:pPr>
            <w:r w:rsidRPr="00233DB8">
              <w:rPr>
                <w:rFonts w:ascii="Times New Roman" w:hAnsi="Times New Roman" w:cs="Times New Roman"/>
                <w:sz w:val="18"/>
                <w:szCs w:val="20"/>
              </w:rPr>
              <w:t>Продължителност на средносрочни прекъсвания на работа на Блок 2 за частична подмяна на гориво и средносрочни ремонти</w:t>
            </w:r>
          </w:p>
        </w:tc>
        <w:tc>
          <w:tcPr>
            <w:tcW w:w="0" w:type="auto"/>
            <w:tcBorders>
              <w:left w:val="single" w:sz="12" w:space="0" w:color="auto"/>
            </w:tcBorders>
            <w:shd w:val="clear" w:color="auto" w:fill="auto"/>
            <w:vAlign w:val="center"/>
          </w:tcPr>
          <w:p w:rsidR="00950BDF" w:rsidRPr="00233DB8" w:rsidRDefault="00950BDF" w:rsidP="00E44C19">
            <w:pPr>
              <w:spacing w:after="0" w:line="240" w:lineRule="auto"/>
              <w:jc w:val="center"/>
              <w:rPr>
                <w:rFonts w:ascii="Times New Roman" w:hAnsi="Times New Roman" w:cs="Times New Roman"/>
                <w:sz w:val="18"/>
                <w:szCs w:val="20"/>
              </w:rPr>
            </w:pPr>
            <w:r w:rsidRPr="00233DB8">
              <w:rPr>
                <w:rFonts w:ascii="Times New Roman" w:hAnsi="Times New Roman" w:cs="Times New Roman"/>
                <w:sz w:val="18"/>
                <w:szCs w:val="20"/>
              </w:rPr>
              <w:t>40 дни</w:t>
            </w:r>
          </w:p>
        </w:tc>
      </w:tr>
      <w:tr w:rsidR="00950BDF" w:rsidRPr="00233DB8" w:rsidTr="0012265D">
        <w:tc>
          <w:tcPr>
            <w:tcW w:w="0" w:type="auto"/>
            <w:tcBorders>
              <w:top w:val="single" w:sz="4" w:space="0" w:color="auto"/>
              <w:bottom w:val="single" w:sz="4" w:space="0" w:color="auto"/>
              <w:right w:val="single" w:sz="12" w:space="0" w:color="auto"/>
            </w:tcBorders>
            <w:shd w:val="clear" w:color="auto" w:fill="auto"/>
            <w:vAlign w:val="center"/>
          </w:tcPr>
          <w:p w:rsidR="00950BDF" w:rsidRPr="00233DB8" w:rsidRDefault="00950BDF" w:rsidP="00E44C19">
            <w:pPr>
              <w:spacing w:after="0" w:line="240" w:lineRule="auto"/>
              <w:rPr>
                <w:rFonts w:ascii="Times New Roman" w:hAnsi="Times New Roman" w:cs="Times New Roman"/>
                <w:sz w:val="18"/>
                <w:szCs w:val="20"/>
              </w:rPr>
            </w:pPr>
            <w:r w:rsidRPr="00233DB8">
              <w:rPr>
                <w:rFonts w:ascii="Times New Roman" w:hAnsi="Times New Roman" w:cs="Times New Roman"/>
                <w:sz w:val="18"/>
                <w:szCs w:val="20"/>
              </w:rPr>
              <w:t>Години, в които се извършват средносрочни прекъсвания на работата на Блок 2</w:t>
            </w:r>
          </w:p>
        </w:tc>
        <w:tc>
          <w:tcPr>
            <w:tcW w:w="0" w:type="auto"/>
            <w:tcBorders>
              <w:left w:val="single" w:sz="12" w:space="0" w:color="auto"/>
            </w:tcBorders>
            <w:shd w:val="clear" w:color="auto" w:fill="auto"/>
            <w:vAlign w:val="center"/>
          </w:tcPr>
          <w:p w:rsidR="00950BDF" w:rsidRPr="00233DB8" w:rsidRDefault="00950BDF" w:rsidP="00E44C19">
            <w:pPr>
              <w:spacing w:after="0" w:line="240" w:lineRule="auto"/>
              <w:jc w:val="center"/>
              <w:rPr>
                <w:rFonts w:ascii="Times New Roman" w:hAnsi="Times New Roman" w:cs="Times New Roman"/>
                <w:sz w:val="18"/>
                <w:szCs w:val="20"/>
              </w:rPr>
            </w:pPr>
            <w:r w:rsidRPr="00233DB8">
              <w:rPr>
                <w:rFonts w:ascii="Times New Roman" w:eastAsia="Times New Roman" w:hAnsi="Times New Roman" w:cs="Times New Roman"/>
                <w:bCs/>
                <w:color w:val="000000"/>
                <w:sz w:val="18"/>
                <w:szCs w:val="20"/>
              </w:rPr>
              <w:t xml:space="preserve">5, 9, 13, 17, 25, 29, 33, 37, 45, 49, 53 и 57 </w:t>
            </w:r>
            <w:r w:rsidRPr="00233DB8">
              <w:rPr>
                <w:rFonts w:ascii="Times New Roman" w:hAnsi="Times New Roman" w:cs="Times New Roman"/>
                <w:sz w:val="18"/>
                <w:szCs w:val="20"/>
              </w:rPr>
              <w:t>година от 60-годишния период на експлоатация</w:t>
            </w:r>
          </w:p>
        </w:tc>
      </w:tr>
      <w:tr w:rsidR="00950BDF" w:rsidRPr="00233DB8" w:rsidTr="0012265D">
        <w:tc>
          <w:tcPr>
            <w:tcW w:w="0" w:type="auto"/>
            <w:tcBorders>
              <w:top w:val="single" w:sz="4" w:space="0" w:color="auto"/>
              <w:bottom w:val="single" w:sz="4" w:space="0" w:color="auto"/>
              <w:right w:val="single" w:sz="12" w:space="0" w:color="auto"/>
            </w:tcBorders>
            <w:shd w:val="clear" w:color="auto" w:fill="auto"/>
            <w:vAlign w:val="center"/>
          </w:tcPr>
          <w:p w:rsidR="00950BDF" w:rsidRPr="00233DB8" w:rsidRDefault="00950BDF" w:rsidP="00E44C19">
            <w:pPr>
              <w:spacing w:after="0" w:line="240" w:lineRule="auto"/>
              <w:rPr>
                <w:rFonts w:ascii="Times New Roman" w:hAnsi="Times New Roman" w:cs="Times New Roman"/>
                <w:sz w:val="18"/>
                <w:szCs w:val="20"/>
              </w:rPr>
            </w:pPr>
            <w:r w:rsidRPr="00233DB8">
              <w:rPr>
                <w:rFonts w:ascii="Times New Roman" w:hAnsi="Times New Roman" w:cs="Times New Roman"/>
                <w:sz w:val="18"/>
                <w:szCs w:val="20"/>
              </w:rPr>
              <w:t>Продължителност на дългосрочни прекъсвания на работа на Блок 2 за пълна подмяна на горивото и капиталов ремонт</w:t>
            </w:r>
          </w:p>
        </w:tc>
        <w:tc>
          <w:tcPr>
            <w:tcW w:w="0" w:type="auto"/>
            <w:tcBorders>
              <w:left w:val="single" w:sz="12" w:space="0" w:color="auto"/>
            </w:tcBorders>
            <w:shd w:val="clear" w:color="auto" w:fill="auto"/>
            <w:vAlign w:val="center"/>
          </w:tcPr>
          <w:p w:rsidR="00950BDF" w:rsidRPr="00233DB8" w:rsidRDefault="00950BDF" w:rsidP="00E44C19">
            <w:pPr>
              <w:spacing w:after="0" w:line="240" w:lineRule="auto"/>
              <w:jc w:val="center"/>
              <w:rPr>
                <w:rFonts w:ascii="Times New Roman" w:hAnsi="Times New Roman" w:cs="Times New Roman"/>
                <w:sz w:val="18"/>
                <w:szCs w:val="20"/>
              </w:rPr>
            </w:pPr>
            <w:r w:rsidRPr="00233DB8">
              <w:rPr>
                <w:rFonts w:ascii="Times New Roman" w:hAnsi="Times New Roman" w:cs="Times New Roman"/>
                <w:sz w:val="18"/>
                <w:szCs w:val="20"/>
              </w:rPr>
              <w:t>60 дни</w:t>
            </w:r>
          </w:p>
        </w:tc>
      </w:tr>
      <w:tr w:rsidR="00950BDF" w:rsidRPr="00233DB8" w:rsidTr="0012265D">
        <w:tc>
          <w:tcPr>
            <w:tcW w:w="0" w:type="auto"/>
            <w:tcBorders>
              <w:top w:val="single" w:sz="4" w:space="0" w:color="auto"/>
              <w:bottom w:val="single" w:sz="4" w:space="0" w:color="auto"/>
              <w:right w:val="single" w:sz="12" w:space="0" w:color="auto"/>
            </w:tcBorders>
            <w:shd w:val="clear" w:color="auto" w:fill="auto"/>
            <w:vAlign w:val="center"/>
          </w:tcPr>
          <w:p w:rsidR="00950BDF" w:rsidRPr="00233DB8" w:rsidRDefault="00950BDF" w:rsidP="00E44C19">
            <w:pPr>
              <w:spacing w:after="0" w:line="240" w:lineRule="auto"/>
              <w:rPr>
                <w:rFonts w:ascii="Times New Roman" w:hAnsi="Times New Roman" w:cs="Times New Roman"/>
                <w:sz w:val="18"/>
                <w:szCs w:val="20"/>
              </w:rPr>
            </w:pPr>
            <w:r w:rsidRPr="00233DB8">
              <w:rPr>
                <w:rFonts w:ascii="Times New Roman" w:hAnsi="Times New Roman" w:cs="Times New Roman"/>
                <w:sz w:val="18"/>
                <w:szCs w:val="20"/>
              </w:rPr>
              <w:t>Години, в които се извършват дългосрочни прекъсвания на работата на Блок 2</w:t>
            </w:r>
          </w:p>
        </w:tc>
        <w:tc>
          <w:tcPr>
            <w:tcW w:w="0" w:type="auto"/>
            <w:tcBorders>
              <w:left w:val="single" w:sz="12" w:space="0" w:color="auto"/>
            </w:tcBorders>
            <w:shd w:val="clear" w:color="auto" w:fill="auto"/>
            <w:vAlign w:val="center"/>
          </w:tcPr>
          <w:p w:rsidR="00950BDF" w:rsidRPr="00233DB8" w:rsidRDefault="00950BDF" w:rsidP="00E44C19">
            <w:pPr>
              <w:spacing w:after="0" w:line="240" w:lineRule="auto"/>
              <w:jc w:val="center"/>
              <w:rPr>
                <w:rFonts w:ascii="Times New Roman" w:hAnsi="Times New Roman" w:cs="Times New Roman"/>
                <w:sz w:val="18"/>
                <w:szCs w:val="20"/>
              </w:rPr>
            </w:pPr>
            <w:r w:rsidRPr="00233DB8">
              <w:rPr>
                <w:rFonts w:ascii="Times New Roman" w:hAnsi="Times New Roman" w:cs="Times New Roman"/>
                <w:sz w:val="18"/>
                <w:szCs w:val="20"/>
              </w:rPr>
              <w:t>11, 21, 31, 41 и 51 година от 60-годишния период на експлоатация</w:t>
            </w:r>
          </w:p>
        </w:tc>
      </w:tr>
      <w:tr w:rsidR="00950BDF" w:rsidRPr="00233DB8" w:rsidTr="0012265D">
        <w:tc>
          <w:tcPr>
            <w:tcW w:w="0" w:type="auto"/>
            <w:tcBorders>
              <w:top w:val="single" w:sz="4" w:space="0" w:color="auto"/>
              <w:bottom w:val="single" w:sz="4" w:space="0" w:color="auto"/>
              <w:right w:val="single" w:sz="12" w:space="0" w:color="auto"/>
            </w:tcBorders>
            <w:shd w:val="clear" w:color="auto" w:fill="auto"/>
            <w:vAlign w:val="center"/>
          </w:tcPr>
          <w:p w:rsidR="00950BDF" w:rsidRPr="00233DB8" w:rsidRDefault="00950BDF" w:rsidP="00E44C19">
            <w:pPr>
              <w:spacing w:after="0" w:line="240" w:lineRule="auto"/>
              <w:rPr>
                <w:rFonts w:ascii="Times New Roman" w:hAnsi="Times New Roman" w:cs="Times New Roman"/>
                <w:sz w:val="18"/>
                <w:szCs w:val="20"/>
              </w:rPr>
            </w:pPr>
            <w:r w:rsidRPr="00233DB8">
              <w:rPr>
                <w:rFonts w:ascii="Times New Roman" w:hAnsi="Times New Roman" w:cs="Times New Roman"/>
                <w:sz w:val="18"/>
                <w:szCs w:val="20"/>
              </w:rPr>
              <w:t>Времево натоварване на мощностите без отчитане на непланирани аварии (forcedoutage)</w:t>
            </w:r>
          </w:p>
        </w:tc>
        <w:tc>
          <w:tcPr>
            <w:tcW w:w="0" w:type="auto"/>
            <w:tcBorders>
              <w:left w:val="single" w:sz="12" w:space="0" w:color="auto"/>
            </w:tcBorders>
            <w:shd w:val="clear" w:color="auto" w:fill="auto"/>
            <w:vAlign w:val="center"/>
          </w:tcPr>
          <w:p w:rsidR="00950BDF" w:rsidRPr="00233DB8" w:rsidRDefault="00950BDF" w:rsidP="003852F9">
            <w:pPr>
              <w:spacing w:after="0" w:line="240" w:lineRule="auto"/>
              <w:jc w:val="center"/>
              <w:rPr>
                <w:rFonts w:ascii="Times New Roman" w:hAnsi="Times New Roman" w:cs="Times New Roman"/>
                <w:sz w:val="18"/>
                <w:szCs w:val="20"/>
              </w:rPr>
            </w:pPr>
            <w:r w:rsidRPr="00233DB8">
              <w:rPr>
                <w:rFonts w:ascii="Times New Roman" w:hAnsi="Times New Roman" w:cs="Times New Roman"/>
                <w:sz w:val="18"/>
                <w:szCs w:val="20"/>
              </w:rPr>
              <w:t>92</w:t>
            </w:r>
            <w:r w:rsidR="003852F9" w:rsidRPr="00233DB8">
              <w:rPr>
                <w:rFonts w:ascii="Times New Roman" w:hAnsi="Times New Roman" w:cs="Times New Roman"/>
                <w:sz w:val="18"/>
                <w:szCs w:val="20"/>
                <w:lang w:val="en-US"/>
              </w:rPr>
              <w:t>,</w:t>
            </w:r>
            <w:r w:rsidRPr="00233DB8">
              <w:rPr>
                <w:rFonts w:ascii="Times New Roman" w:hAnsi="Times New Roman" w:cs="Times New Roman"/>
                <w:sz w:val="18"/>
                <w:szCs w:val="20"/>
              </w:rPr>
              <w:t>3%</w:t>
            </w:r>
          </w:p>
        </w:tc>
      </w:tr>
      <w:tr w:rsidR="00950BDF" w:rsidRPr="00233DB8" w:rsidTr="0012265D">
        <w:tc>
          <w:tcPr>
            <w:tcW w:w="0" w:type="auto"/>
            <w:tcBorders>
              <w:top w:val="single" w:sz="4" w:space="0" w:color="auto"/>
              <w:bottom w:val="single" w:sz="4" w:space="0" w:color="auto"/>
              <w:right w:val="single" w:sz="12" w:space="0" w:color="auto"/>
            </w:tcBorders>
            <w:shd w:val="clear" w:color="auto" w:fill="auto"/>
            <w:vAlign w:val="center"/>
          </w:tcPr>
          <w:p w:rsidR="00950BDF" w:rsidRPr="00233DB8" w:rsidRDefault="00950BDF" w:rsidP="00E44C19">
            <w:pPr>
              <w:spacing w:after="0" w:line="240" w:lineRule="auto"/>
              <w:rPr>
                <w:rFonts w:ascii="Times New Roman" w:hAnsi="Times New Roman" w:cs="Times New Roman"/>
                <w:sz w:val="18"/>
                <w:szCs w:val="20"/>
              </w:rPr>
            </w:pPr>
            <w:r w:rsidRPr="00233DB8">
              <w:rPr>
                <w:rFonts w:ascii="Times New Roman" w:hAnsi="Times New Roman" w:cs="Times New Roman"/>
                <w:sz w:val="18"/>
                <w:szCs w:val="20"/>
              </w:rPr>
              <w:t>Времево натоварване на мощностите с отчитане на непланирани аварии (forcedoutage)</w:t>
            </w:r>
          </w:p>
        </w:tc>
        <w:tc>
          <w:tcPr>
            <w:tcW w:w="0" w:type="auto"/>
            <w:tcBorders>
              <w:left w:val="single" w:sz="12" w:space="0" w:color="auto"/>
            </w:tcBorders>
            <w:shd w:val="clear" w:color="auto" w:fill="auto"/>
            <w:vAlign w:val="center"/>
          </w:tcPr>
          <w:p w:rsidR="00950BDF" w:rsidRPr="00233DB8" w:rsidRDefault="00950BDF" w:rsidP="003852F9">
            <w:pPr>
              <w:spacing w:after="0" w:line="240" w:lineRule="auto"/>
              <w:jc w:val="center"/>
              <w:rPr>
                <w:rFonts w:ascii="Times New Roman" w:hAnsi="Times New Roman" w:cs="Times New Roman"/>
                <w:sz w:val="18"/>
                <w:szCs w:val="20"/>
              </w:rPr>
            </w:pPr>
            <w:r w:rsidRPr="00233DB8">
              <w:rPr>
                <w:rFonts w:ascii="Times New Roman" w:hAnsi="Times New Roman" w:cs="Times New Roman"/>
                <w:sz w:val="18"/>
                <w:szCs w:val="20"/>
              </w:rPr>
              <w:t>89</w:t>
            </w:r>
            <w:r w:rsidR="003852F9" w:rsidRPr="00233DB8">
              <w:rPr>
                <w:rFonts w:ascii="Times New Roman" w:hAnsi="Times New Roman" w:cs="Times New Roman"/>
                <w:sz w:val="18"/>
                <w:szCs w:val="20"/>
                <w:lang w:val="en-US"/>
              </w:rPr>
              <w:t>,</w:t>
            </w:r>
            <w:r w:rsidRPr="00233DB8">
              <w:rPr>
                <w:rFonts w:ascii="Times New Roman" w:hAnsi="Times New Roman" w:cs="Times New Roman"/>
                <w:sz w:val="18"/>
                <w:szCs w:val="20"/>
              </w:rPr>
              <w:t>6%</w:t>
            </w:r>
          </w:p>
        </w:tc>
      </w:tr>
      <w:tr w:rsidR="00950BDF" w:rsidRPr="00233DB8" w:rsidTr="0012265D">
        <w:tc>
          <w:tcPr>
            <w:tcW w:w="0" w:type="auto"/>
            <w:tcBorders>
              <w:top w:val="single" w:sz="4" w:space="0" w:color="auto"/>
              <w:bottom w:val="single" w:sz="4" w:space="0" w:color="auto"/>
              <w:right w:val="single" w:sz="12" w:space="0" w:color="auto"/>
            </w:tcBorders>
            <w:shd w:val="clear" w:color="auto" w:fill="auto"/>
            <w:vAlign w:val="center"/>
          </w:tcPr>
          <w:p w:rsidR="00950BDF" w:rsidRPr="00233DB8" w:rsidRDefault="00950BDF" w:rsidP="00E44C19">
            <w:pPr>
              <w:spacing w:after="0" w:line="240" w:lineRule="auto"/>
              <w:rPr>
                <w:rFonts w:ascii="Times New Roman" w:hAnsi="Times New Roman" w:cs="Times New Roman"/>
                <w:sz w:val="18"/>
                <w:szCs w:val="20"/>
              </w:rPr>
            </w:pPr>
            <w:r w:rsidRPr="00233DB8">
              <w:rPr>
                <w:rFonts w:ascii="Times New Roman" w:hAnsi="Times New Roman" w:cs="Times New Roman"/>
                <w:sz w:val="18"/>
                <w:szCs w:val="20"/>
              </w:rPr>
              <w:t>Ниво на натоварване (dispatchingrate)</w:t>
            </w:r>
          </w:p>
        </w:tc>
        <w:tc>
          <w:tcPr>
            <w:tcW w:w="0" w:type="auto"/>
            <w:tcBorders>
              <w:left w:val="single" w:sz="12" w:space="0" w:color="auto"/>
            </w:tcBorders>
            <w:shd w:val="clear" w:color="auto" w:fill="auto"/>
            <w:vAlign w:val="center"/>
          </w:tcPr>
          <w:p w:rsidR="00950BDF" w:rsidRPr="00233DB8" w:rsidRDefault="00950BDF" w:rsidP="00E44C19">
            <w:pPr>
              <w:spacing w:after="0" w:line="240" w:lineRule="auto"/>
              <w:jc w:val="center"/>
              <w:rPr>
                <w:rFonts w:ascii="Times New Roman" w:hAnsi="Times New Roman" w:cs="Times New Roman"/>
                <w:sz w:val="18"/>
                <w:szCs w:val="20"/>
              </w:rPr>
            </w:pPr>
            <w:r w:rsidRPr="00233DB8">
              <w:rPr>
                <w:rFonts w:ascii="Times New Roman" w:hAnsi="Times New Roman" w:cs="Times New Roman"/>
                <w:sz w:val="18"/>
                <w:szCs w:val="20"/>
              </w:rPr>
              <w:t>100%</w:t>
            </w:r>
          </w:p>
        </w:tc>
      </w:tr>
      <w:tr w:rsidR="00950BDF" w:rsidRPr="00233DB8" w:rsidTr="0012265D">
        <w:tc>
          <w:tcPr>
            <w:tcW w:w="0" w:type="auto"/>
            <w:tcBorders>
              <w:top w:val="single" w:sz="4" w:space="0" w:color="auto"/>
              <w:bottom w:val="single" w:sz="12" w:space="0" w:color="auto"/>
              <w:right w:val="single" w:sz="12" w:space="0" w:color="auto"/>
            </w:tcBorders>
            <w:shd w:val="clear" w:color="auto" w:fill="auto"/>
            <w:vAlign w:val="center"/>
          </w:tcPr>
          <w:p w:rsidR="00950BDF" w:rsidRPr="00233DB8" w:rsidRDefault="00950BDF" w:rsidP="00E44C19">
            <w:pPr>
              <w:spacing w:after="0" w:line="240" w:lineRule="auto"/>
              <w:rPr>
                <w:rFonts w:ascii="Times New Roman" w:hAnsi="Times New Roman" w:cs="Times New Roman"/>
                <w:sz w:val="18"/>
                <w:szCs w:val="20"/>
              </w:rPr>
            </w:pPr>
            <w:r w:rsidRPr="00233DB8">
              <w:rPr>
                <w:rFonts w:ascii="Times New Roman" w:hAnsi="Times New Roman" w:cs="Times New Roman"/>
                <w:sz w:val="18"/>
                <w:szCs w:val="20"/>
              </w:rPr>
              <w:t xml:space="preserve">Дял на електроенергията за собствени нужди </w:t>
            </w:r>
          </w:p>
        </w:tc>
        <w:tc>
          <w:tcPr>
            <w:tcW w:w="0" w:type="auto"/>
            <w:tcBorders>
              <w:left w:val="single" w:sz="12" w:space="0" w:color="auto"/>
            </w:tcBorders>
            <w:shd w:val="clear" w:color="auto" w:fill="auto"/>
            <w:vAlign w:val="center"/>
          </w:tcPr>
          <w:p w:rsidR="00950BDF" w:rsidRPr="00233DB8" w:rsidRDefault="00950BDF" w:rsidP="00E44C19">
            <w:pPr>
              <w:spacing w:after="0" w:line="240" w:lineRule="auto"/>
              <w:jc w:val="center"/>
              <w:rPr>
                <w:rFonts w:ascii="Times New Roman" w:hAnsi="Times New Roman" w:cs="Times New Roman"/>
                <w:sz w:val="18"/>
                <w:szCs w:val="20"/>
              </w:rPr>
            </w:pPr>
            <w:r w:rsidRPr="00233DB8">
              <w:rPr>
                <w:rFonts w:ascii="Times New Roman" w:hAnsi="Times New Roman" w:cs="Times New Roman"/>
                <w:sz w:val="18"/>
                <w:szCs w:val="20"/>
              </w:rPr>
              <w:t>7% до 2047 г.</w:t>
            </w:r>
          </w:p>
          <w:p w:rsidR="00950BDF" w:rsidRPr="00233DB8" w:rsidRDefault="00950BDF" w:rsidP="00E44C19">
            <w:pPr>
              <w:spacing w:after="0" w:line="240" w:lineRule="auto"/>
              <w:jc w:val="center"/>
              <w:rPr>
                <w:rFonts w:ascii="Times New Roman" w:hAnsi="Times New Roman" w:cs="Times New Roman"/>
                <w:sz w:val="18"/>
                <w:szCs w:val="20"/>
              </w:rPr>
            </w:pPr>
            <w:r w:rsidRPr="00233DB8">
              <w:rPr>
                <w:rFonts w:ascii="Times New Roman" w:hAnsi="Times New Roman" w:cs="Times New Roman"/>
                <w:sz w:val="18"/>
                <w:szCs w:val="20"/>
              </w:rPr>
              <w:t>8% от 2048 г.</w:t>
            </w:r>
          </w:p>
        </w:tc>
      </w:tr>
    </w:tbl>
    <w:p w:rsidR="002C6255" w:rsidRDefault="00950BDF" w:rsidP="00DB1A1E">
      <w:pPr>
        <w:spacing w:before="120" w:after="120" w:line="240" w:lineRule="auto"/>
        <w:jc w:val="center"/>
        <w:rPr>
          <w:rFonts w:ascii="Times New Roman" w:hAnsi="Times New Roman" w:cs="Times New Roman"/>
          <w:sz w:val="24"/>
          <w:szCs w:val="24"/>
        </w:rPr>
      </w:pPr>
      <w:r w:rsidRPr="009E067D">
        <w:rPr>
          <w:rFonts w:ascii="Times New Roman" w:hAnsi="Times New Roman" w:cs="Times New Roman"/>
          <w:sz w:val="20"/>
          <w:szCs w:val="24"/>
        </w:rPr>
        <w:t>Източник: Съставена от авторите на основа на предоставена проектна документация.</w:t>
      </w:r>
    </w:p>
    <w:p w:rsidR="00233DB8" w:rsidRPr="00950BDF" w:rsidRDefault="00233DB8" w:rsidP="00233DB8">
      <w:pPr>
        <w:spacing w:before="120" w:after="120" w:line="240" w:lineRule="auto"/>
        <w:jc w:val="both"/>
        <w:rPr>
          <w:rFonts w:ascii="Times New Roman" w:hAnsi="Times New Roman" w:cs="Times New Roman"/>
          <w:sz w:val="24"/>
          <w:szCs w:val="24"/>
        </w:rPr>
      </w:pPr>
      <w:bookmarkStart w:id="106" w:name="_Toc491990976"/>
      <w:bookmarkStart w:id="107" w:name="_Toc491994411"/>
      <w:r w:rsidRPr="00950BDF">
        <w:rPr>
          <w:rFonts w:ascii="Times New Roman" w:hAnsi="Times New Roman" w:cs="Times New Roman"/>
          <w:sz w:val="24"/>
          <w:szCs w:val="24"/>
        </w:rPr>
        <w:lastRenderedPageBreak/>
        <w:t>Стойностите на повечето от посочените параметри са свързани с изчисляване на нивото на натоварване на мощностите без отчитане на непланираните аварии. Съпоставката на получената стойност с представените еталонни стойности показва, че АЕЦ „Белене“ е предвидена да работи съгласно международните стандарти за сходен тип ядрена електроцентрала (вж.</w:t>
      </w:r>
      <w:r>
        <w:rPr>
          <w:rFonts w:ascii="Times New Roman" w:hAnsi="Times New Roman" w:cs="Times New Roman"/>
          <w:sz w:val="24"/>
          <w:szCs w:val="24"/>
        </w:rPr>
        <w:t xml:space="preserve"> табл. </w:t>
      </w:r>
      <w:r w:rsidRPr="00E44C19">
        <w:rPr>
          <w:rFonts w:ascii="Times New Roman" w:hAnsi="Times New Roman" w:cs="Times New Roman"/>
          <w:sz w:val="24"/>
          <w:szCs w:val="24"/>
          <w:lang w:val="en-US"/>
        </w:rPr>
        <w:t>V.</w:t>
      </w:r>
      <w:r>
        <w:rPr>
          <w:rFonts w:ascii="Times New Roman" w:hAnsi="Times New Roman" w:cs="Times New Roman"/>
          <w:sz w:val="24"/>
          <w:szCs w:val="24"/>
          <w:lang w:val="en-US"/>
        </w:rPr>
        <w:t>6</w:t>
      </w:r>
      <w:r w:rsidRPr="00950BDF">
        <w:rPr>
          <w:rFonts w:ascii="Times New Roman" w:hAnsi="Times New Roman" w:cs="Times New Roman"/>
          <w:sz w:val="24"/>
          <w:szCs w:val="24"/>
        </w:rPr>
        <w:t>).</w:t>
      </w:r>
    </w:p>
    <w:p w:rsidR="00950BDF" w:rsidRPr="001C72F7" w:rsidRDefault="001C72F7" w:rsidP="001C72F7">
      <w:pPr>
        <w:pStyle w:val="Caption"/>
        <w:rPr>
          <w:rFonts w:ascii="Times New Roman" w:hAnsi="Times New Roman"/>
          <w:szCs w:val="24"/>
        </w:rPr>
      </w:pPr>
      <w:bookmarkStart w:id="108" w:name="_Toc493240902"/>
      <w:r w:rsidRPr="001C72F7">
        <w:rPr>
          <w:rFonts w:hint="eastAsia"/>
        </w:rPr>
        <w:t>Таблица</w:t>
      </w:r>
      <w:r w:rsidRPr="001C72F7">
        <w:t xml:space="preserve"> V.</w:t>
      </w:r>
      <w:r w:rsidR="0097530B">
        <w:fldChar w:fldCharType="begin"/>
      </w:r>
      <w:r w:rsidR="00042F89">
        <w:instrText xml:space="preserve"> SEQ Таблица_V. \* ARABIC </w:instrText>
      </w:r>
      <w:r w:rsidR="0097530B">
        <w:fldChar w:fldCharType="separate"/>
      </w:r>
      <w:r w:rsidR="00F44EBF">
        <w:rPr>
          <w:noProof/>
        </w:rPr>
        <w:t>6</w:t>
      </w:r>
      <w:r w:rsidR="0097530B">
        <w:rPr>
          <w:noProof/>
        </w:rPr>
        <w:fldChar w:fldCharType="end"/>
      </w:r>
      <w:r w:rsidRPr="001C72F7">
        <w:rPr>
          <w:rFonts w:asciiTheme="minorHAnsi" w:hAnsiTheme="minorHAnsi"/>
          <w:lang w:val="en-US"/>
        </w:rPr>
        <w:t xml:space="preserve">. </w:t>
      </w:r>
      <w:r w:rsidR="00950BDF" w:rsidRPr="001C72F7">
        <w:rPr>
          <w:rFonts w:ascii="Times New Roman" w:hAnsi="Times New Roman"/>
          <w:szCs w:val="24"/>
        </w:rPr>
        <w:t>Еталонни сравнения за планирано</w:t>
      </w:r>
      <w:r w:rsidR="00F34DB4">
        <w:rPr>
          <w:rFonts w:ascii="Times New Roman" w:hAnsi="Times New Roman"/>
          <w:szCs w:val="24"/>
        </w:rPr>
        <w:t>то</w:t>
      </w:r>
      <w:r w:rsidR="00950BDF" w:rsidRPr="001C72F7">
        <w:rPr>
          <w:rFonts w:ascii="Times New Roman" w:hAnsi="Times New Roman"/>
          <w:szCs w:val="24"/>
        </w:rPr>
        <w:t xml:space="preserve"> натоварване на мощностите</w:t>
      </w:r>
      <w:bookmarkEnd w:id="106"/>
      <w:bookmarkEnd w:id="107"/>
      <w:bookmarkEnd w:id="108"/>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76"/>
        <w:gridCol w:w="2268"/>
        <w:gridCol w:w="4644"/>
      </w:tblGrid>
      <w:tr w:rsidR="00950BDF" w:rsidRPr="00233DB8" w:rsidTr="00037C98">
        <w:trPr>
          <w:tblHeader/>
          <w:jc w:val="center"/>
        </w:trPr>
        <w:tc>
          <w:tcPr>
            <w:tcW w:w="2376" w:type="dxa"/>
            <w:tcBorders>
              <w:top w:val="single" w:sz="12" w:space="0" w:color="auto"/>
              <w:bottom w:val="single" w:sz="12" w:space="0" w:color="auto"/>
              <w:right w:val="single" w:sz="12" w:space="0" w:color="auto"/>
            </w:tcBorders>
            <w:shd w:val="clear" w:color="auto" w:fill="D9D9D9"/>
            <w:vAlign w:val="center"/>
          </w:tcPr>
          <w:p w:rsidR="00950BDF" w:rsidRPr="00233DB8" w:rsidRDefault="00950BDF" w:rsidP="00E44C19">
            <w:pPr>
              <w:spacing w:after="0" w:line="240" w:lineRule="auto"/>
              <w:jc w:val="center"/>
              <w:rPr>
                <w:rFonts w:ascii="Times New Roman" w:hAnsi="Times New Roman" w:cs="Times New Roman"/>
                <w:sz w:val="20"/>
                <w:szCs w:val="24"/>
              </w:rPr>
            </w:pPr>
            <w:r w:rsidRPr="00233DB8">
              <w:rPr>
                <w:rFonts w:ascii="Times New Roman" w:hAnsi="Times New Roman" w:cs="Times New Roman"/>
                <w:sz w:val="20"/>
                <w:szCs w:val="24"/>
              </w:rPr>
              <w:t>Сравнение</w:t>
            </w:r>
          </w:p>
        </w:tc>
        <w:tc>
          <w:tcPr>
            <w:tcW w:w="2268" w:type="dxa"/>
            <w:tcBorders>
              <w:left w:val="single" w:sz="12" w:space="0" w:color="auto"/>
              <w:bottom w:val="single" w:sz="12" w:space="0" w:color="auto"/>
            </w:tcBorders>
            <w:shd w:val="clear" w:color="auto" w:fill="D9D9D9"/>
            <w:vAlign w:val="center"/>
          </w:tcPr>
          <w:p w:rsidR="00950BDF" w:rsidRPr="00233DB8" w:rsidRDefault="00950BDF" w:rsidP="00E44C19">
            <w:pPr>
              <w:spacing w:after="0" w:line="240" w:lineRule="auto"/>
              <w:jc w:val="center"/>
              <w:rPr>
                <w:rFonts w:ascii="Times New Roman" w:hAnsi="Times New Roman" w:cs="Times New Roman"/>
                <w:sz w:val="20"/>
                <w:szCs w:val="24"/>
              </w:rPr>
            </w:pPr>
            <w:r w:rsidRPr="00233DB8">
              <w:rPr>
                <w:rFonts w:ascii="Times New Roman" w:hAnsi="Times New Roman" w:cs="Times New Roman"/>
                <w:sz w:val="20"/>
                <w:szCs w:val="24"/>
              </w:rPr>
              <w:t>Коефициент на натоварване</w:t>
            </w:r>
            <w:r w:rsidR="0012265D" w:rsidRPr="00233DB8">
              <w:rPr>
                <w:rFonts w:ascii="Times New Roman" w:hAnsi="Times New Roman" w:cs="Times New Roman"/>
                <w:sz w:val="20"/>
                <w:szCs w:val="24"/>
              </w:rPr>
              <w:t>, %</w:t>
            </w:r>
          </w:p>
        </w:tc>
        <w:tc>
          <w:tcPr>
            <w:tcW w:w="4644" w:type="dxa"/>
            <w:tcBorders>
              <w:bottom w:val="single" w:sz="12" w:space="0" w:color="auto"/>
            </w:tcBorders>
            <w:shd w:val="clear" w:color="auto" w:fill="D9D9D9"/>
            <w:vAlign w:val="center"/>
          </w:tcPr>
          <w:p w:rsidR="00950BDF" w:rsidRPr="00233DB8" w:rsidRDefault="00950BDF" w:rsidP="00E44C19">
            <w:pPr>
              <w:spacing w:after="0" w:line="240" w:lineRule="auto"/>
              <w:jc w:val="center"/>
              <w:rPr>
                <w:rFonts w:ascii="Times New Roman" w:hAnsi="Times New Roman" w:cs="Times New Roman"/>
                <w:sz w:val="20"/>
                <w:szCs w:val="24"/>
              </w:rPr>
            </w:pPr>
            <w:r w:rsidRPr="00233DB8">
              <w:rPr>
                <w:rFonts w:ascii="Times New Roman" w:hAnsi="Times New Roman" w:cs="Times New Roman"/>
                <w:sz w:val="20"/>
                <w:szCs w:val="24"/>
              </w:rPr>
              <w:t>Източник</w:t>
            </w:r>
          </w:p>
        </w:tc>
      </w:tr>
      <w:tr w:rsidR="00950BDF" w:rsidRPr="009E067D" w:rsidTr="00037C98">
        <w:trPr>
          <w:jc w:val="center"/>
        </w:trPr>
        <w:tc>
          <w:tcPr>
            <w:tcW w:w="2376" w:type="dxa"/>
            <w:tcBorders>
              <w:top w:val="single" w:sz="12" w:space="0" w:color="auto"/>
              <w:bottom w:val="single" w:sz="4" w:space="0" w:color="auto"/>
              <w:right w:val="single" w:sz="12" w:space="0" w:color="auto"/>
            </w:tcBorders>
            <w:shd w:val="clear" w:color="auto" w:fill="auto"/>
            <w:vAlign w:val="center"/>
          </w:tcPr>
          <w:p w:rsidR="00950BDF" w:rsidRPr="009E067D" w:rsidRDefault="00950BDF" w:rsidP="00E44C19">
            <w:pPr>
              <w:spacing w:after="0" w:line="240" w:lineRule="auto"/>
              <w:rPr>
                <w:rFonts w:ascii="Times New Roman" w:hAnsi="Times New Roman" w:cs="Times New Roman"/>
                <w:sz w:val="20"/>
                <w:szCs w:val="24"/>
              </w:rPr>
            </w:pPr>
            <w:r w:rsidRPr="009E067D">
              <w:rPr>
                <w:rFonts w:ascii="Times New Roman" w:hAnsi="Times New Roman" w:cs="Times New Roman"/>
                <w:sz w:val="20"/>
                <w:szCs w:val="24"/>
              </w:rPr>
              <w:t>HinkleyPoint C</w:t>
            </w:r>
          </w:p>
        </w:tc>
        <w:tc>
          <w:tcPr>
            <w:tcW w:w="2268" w:type="dxa"/>
            <w:tcBorders>
              <w:top w:val="single" w:sz="12" w:space="0" w:color="auto"/>
              <w:left w:val="single" w:sz="12" w:space="0" w:color="auto"/>
              <w:bottom w:val="single" w:sz="4" w:space="0" w:color="auto"/>
            </w:tcBorders>
            <w:shd w:val="clear" w:color="auto" w:fill="auto"/>
            <w:vAlign w:val="center"/>
          </w:tcPr>
          <w:p w:rsidR="00950BDF" w:rsidRPr="009E067D" w:rsidRDefault="0012265D" w:rsidP="00E44C19">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92</w:t>
            </w:r>
          </w:p>
        </w:tc>
        <w:tc>
          <w:tcPr>
            <w:tcW w:w="4644" w:type="dxa"/>
            <w:tcBorders>
              <w:top w:val="single" w:sz="12" w:space="0" w:color="auto"/>
              <w:bottom w:val="single" w:sz="4" w:space="0" w:color="auto"/>
            </w:tcBorders>
            <w:shd w:val="clear" w:color="auto" w:fill="auto"/>
            <w:vAlign w:val="center"/>
          </w:tcPr>
          <w:p w:rsidR="00950BDF" w:rsidRPr="009E067D" w:rsidRDefault="00950BDF" w:rsidP="00E44C19">
            <w:pPr>
              <w:spacing w:after="0" w:line="240" w:lineRule="auto"/>
              <w:rPr>
                <w:rFonts w:ascii="Times New Roman" w:hAnsi="Times New Roman" w:cs="Times New Roman"/>
                <w:sz w:val="20"/>
                <w:szCs w:val="24"/>
              </w:rPr>
            </w:pPr>
            <w:r w:rsidRPr="009E067D">
              <w:rPr>
                <w:rFonts w:ascii="Times New Roman" w:hAnsi="Times New Roman" w:cs="Times New Roman"/>
                <w:sz w:val="20"/>
                <w:szCs w:val="24"/>
              </w:rPr>
              <w:t>HinkleyPoint C Presentation</w:t>
            </w:r>
          </w:p>
        </w:tc>
      </w:tr>
      <w:tr w:rsidR="00950BDF" w:rsidRPr="009E067D" w:rsidTr="00037C98">
        <w:trPr>
          <w:jc w:val="center"/>
        </w:trPr>
        <w:tc>
          <w:tcPr>
            <w:tcW w:w="2376" w:type="dxa"/>
            <w:tcBorders>
              <w:top w:val="single" w:sz="4" w:space="0" w:color="auto"/>
              <w:right w:val="single" w:sz="12" w:space="0" w:color="auto"/>
            </w:tcBorders>
            <w:shd w:val="clear" w:color="auto" w:fill="auto"/>
            <w:vAlign w:val="center"/>
          </w:tcPr>
          <w:p w:rsidR="00950BDF" w:rsidRPr="009E067D" w:rsidRDefault="00950BDF" w:rsidP="00E44C19">
            <w:pPr>
              <w:spacing w:after="0" w:line="240" w:lineRule="auto"/>
              <w:rPr>
                <w:rFonts w:ascii="Times New Roman" w:hAnsi="Times New Roman" w:cs="Times New Roman"/>
                <w:sz w:val="20"/>
                <w:szCs w:val="24"/>
              </w:rPr>
            </w:pPr>
            <w:r w:rsidRPr="009E067D">
              <w:rPr>
                <w:rFonts w:ascii="Times New Roman" w:hAnsi="Times New Roman" w:cs="Times New Roman"/>
                <w:sz w:val="20"/>
                <w:szCs w:val="24"/>
              </w:rPr>
              <w:t>HinkleyPoint C</w:t>
            </w:r>
          </w:p>
        </w:tc>
        <w:tc>
          <w:tcPr>
            <w:tcW w:w="2268" w:type="dxa"/>
            <w:tcBorders>
              <w:top w:val="single" w:sz="4" w:space="0" w:color="auto"/>
              <w:left w:val="single" w:sz="12" w:space="0" w:color="auto"/>
            </w:tcBorders>
            <w:shd w:val="clear" w:color="auto" w:fill="auto"/>
            <w:vAlign w:val="center"/>
          </w:tcPr>
          <w:p w:rsidR="00950BDF" w:rsidRPr="009E067D" w:rsidRDefault="0012265D" w:rsidP="00E44C19">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91</w:t>
            </w:r>
          </w:p>
        </w:tc>
        <w:tc>
          <w:tcPr>
            <w:tcW w:w="4644" w:type="dxa"/>
            <w:tcBorders>
              <w:top w:val="single" w:sz="4" w:space="0" w:color="auto"/>
            </w:tcBorders>
            <w:shd w:val="clear" w:color="auto" w:fill="auto"/>
            <w:vAlign w:val="center"/>
          </w:tcPr>
          <w:p w:rsidR="00950BDF" w:rsidRPr="009E067D" w:rsidRDefault="00950BDF" w:rsidP="00E44C19">
            <w:pPr>
              <w:spacing w:after="0" w:line="240" w:lineRule="auto"/>
              <w:rPr>
                <w:rFonts w:ascii="Times New Roman" w:hAnsi="Times New Roman" w:cs="Times New Roman"/>
                <w:sz w:val="20"/>
                <w:szCs w:val="24"/>
              </w:rPr>
            </w:pPr>
            <w:r w:rsidRPr="009E067D">
              <w:rPr>
                <w:rFonts w:ascii="Times New Roman" w:hAnsi="Times New Roman" w:cs="Times New Roman"/>
                <w:sz w:val="20"/>
                <w:szCs w:val="24"/>
              </w:rPr>
              <w:t>EuropeanCommission</w:t>
            </w:r>
            <w:r w:rsidR="00037C98">
              <w:rPr>
                <w:rFonts w:ascii="Times New Roman" w:hAnsi="Times New Roman" w:cs="Times New Roman"/>
                <w:sz w:val="20"/>
                <w:szCs w:val="24"/>
              </w:rPr>
              <w:t>–</w:t>
            </w:r>
            <w:r w:rsidRPr="009E067D">
              <w:rPr>
                <w:rFonts w:ascii="Times New Roman" w:hAnsi="Times New Roman" w:cs="Times New Roman"/>
                <w:sz w:val="20"/>
                <w:szCs w:val="24"/>
              </w:rPr>
              <w:t xml:space="preserve"> Energy pricesandcostsreport: Commissi</w:t>
            </w:r>
            <w:r w:rsidR="00037C98">
              <w:rPr>
                <w:rFonts w:ascii="Times New Roman" w:hAnsi="Times New Roman" w:cs="Times New Roman"/>
                <w:sz w:val="20"/>
                <w:szCs w:val="24"/>
              </w:rPr>
              <w:t>onStaffWorkingDocument, 2014</w:t>
            </w:r>
          </w:p>
        </w:tc>
      </w:tr>
      <w:tr w:rsidR="00950BDF" w:rsidRPr="009E067D" w:rsidTr="00037C98">
        <w:trPr>
          <w:jc w:val="center"/>
        </w:trPr>
        <w:tc>
          <w:tcPr>
            <w:tcW w:w="2376" w:type="dxa"/>
            <w:tcBorders>
              <w:right w:val="single" w:sz="12" w:space="0" w:color="auto"/>
            </w:tcBorders>
            <w:shd w:val="clear" w:color="auto" w:fill="auto"/>
            <w:vAlign w:val="center"/>
          </w:tcPr>
          <w:p w:rsidR="00950BDF" w:rsidRPr="009E067D" w:rsidRDefault="00950BDF" w:rsidP="00E44C19">
            <w:pPr>
              <w:spacing w:after="0" w:line="240" w:lineRule="auto"/>
              <w:rPr>
                <w:rFonts w:ascii="Times New Roman" w:hAnsi="Times New Roman" w:cs="Times New Roman"/>
                <w:sz w:val="20"/>
                <w:szCs w:val="24"/>
              </w:rPr>
            </w:pPr>
            <w:r w:rsidRPr="009E067D">
              <w:rPr>
                <w:rFonts w:ascii="Times New Roman" w:hAnsi="Times New Roman" w:cs="Times New Roman"/>
                <w:sz w:val="20"/>
                <w:szCs w:val="24"/>
              </w:rPr>
              <w:t>HinkleyPoint C</w:t>
            </w:r>
          </w:p>
        </w:tc>
        <w:tc>
          <w:tcPr>
            <w:tcW w:w="2268" w:type="dxa"/>
            <w:tcBorders>
              <w:left w:val="single" w:sz="12" w:space="0" w:color="auto"/>
            </w:tcBorders>
            <w:shd w:val="clear" w:color="auto" w:fill="auto"/>
            <w:vAlign w:val="center"/>
          </w:tcPr>
          <w:p w:rsidR="00950BDF" w:rsidRPr="009E067D" w:rsidRDefault="0012265D" w:rsidP="00E44C19">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90</w:t>
            </w:r>
            <w:r w:rsidR="00950BDF" w:rsidRPr="009E067D">
              <w:rPr>
                <w:rFonts w:ascii="Times New Roman" w:hAnsi="Times New Roman" w:cs="Times New Roman"/>
                <w:sz w:val="20"/>
                <w:szCs w:val="24"/>
              </w:rPr>
              <w:t>+</w:t>
            </w:r>
          </w:p>
        </w:tc>
        <w:tc>
          <w:tcPr>
            <w:tcW w:w="4644" w:type="dxa"/>
            <w:shd w:val="clear" w:color="auto" w:fill="auto"/>
            <w:vAlign w:val="center"/>
          </w:tcPr>
          <w:p w:rsidR="00950BDF" w:rsidRPr="009E067D" w:rsidRDefault="00950BDF" w:rsidP="00E44C19">
            <w:pPr>
              <w:spacing w:after="0" w:line="240" w:lineRule="auto"/>
              <w:rPr>
                <w:rFonts w:ascii="Times New Roman" w:hAnsi="Times New Roman" w:cs="Times New Roman"/>
                <w:sz w:val="20"/>
                <w:szCs w:val="24"/>
              </w:rPr>
            </w:pPr>
            <w:r w:rsidRPr="009E067D">
              <w:rPr>
                <w:rFonts w:ascii="Times New Roman" w:hAnsi="Times New Roman" w:cs="Times New Roman"/>
                <w:sz w:val="20"/>
                <w:szCs w:val="24"/>
              </w:rPr>
              <w:t>EDFPresentation</w:t>
            </w:r>
          </w:p>
        </w:tc>
      </w:tr>
      <w:tr w:rsidR="00950BDF" w:rsidRPr="009E067D" w:rsidTr="00037C98">
        <w:trPr>
          <w:jc w:val="center"/>
        </w:trPr>
        <w:tc>
          <w:tcPr>
            <w:tcW w:w="2376" w:type="dxa"/>
            <w:tcBorders>
              <w:right w:val="single" w:sz="12" w:space="0" w:color="auto"/>
            </w:tcBorders>
            <w:shd w:val="clear" w:color="auto" w:fill="auto"/>
            <w:vAlign w:val="center"/>
          </w:tcPr>
          <w:p w:rsidR="00950BDF" w:rsidRPr="009E067D" w:rsidRDefault="00950BDF" w:rsidP="00E44C19">
            <w:pPr>
              <w:spacing w:after="0" w:line="240" w:lineRule="auto"/>
              <w:rPr>
                <w:rFonts w:ascii="Times New Roman" w:hAnsi="Times New Roman" w:cs="Times New Roman"/>
                <w:sz w:val="20"/>
                <w:szCs w:val="24"/>
              </w:rPr>
            </w:pPr>
            <w:r w:rsidRPr="009E067D">
              <w:rPr>
                <w:rFonts w:ascii="Times New Roman" w:hAnsi="Times New Roman" w:cs="Times New Roman"/>
                <w:sz w:val="20"/>
                <w:szCs w:val="24"/>
              </w:rPr>
              <w:t>VVER-1200 technicalparameters</w:t>
            </w:r>
          </w:p>
        </w:tc>
        <w:tc>
          <w:tcPr>
            <w:tcW w:w="2268" w:type="dxa"/>
            <w:tcBorders>
              <w:left w:val="single" w:sz="12" w:space="0" w:color="auto"/>
            </w:tcBorders>
            <w:shd w:val="clear" w:color="auto" w:fill="auto"/>
            <w:vAlign w:val="center"/>
          </w:tcPr>
          <w:p w:rsidR="00950BDF" w:rsidRPr="009E067D" w:rsidRDefault="00950BDF" w:rsidP="0012265D">
            <w:pPr>
              <w:spacing w:after="0" w:line="240" w:lineRule="auto"/>
              <w:jc w:val="center"/>
              <w:rPr>
                <w:rFonts w:ascii="Times New Roman" w:hAnsi="Times New Roman" w:cs="Times New Roman"/>
                <w:sz w:val="20"/>
                <w:szCs w:val="24"/>
              </w:rPr>
            </w:pPr>
            <w:r w:rsidRPr="009E067D">
              <w:rPr>
                <w:rFonts w:ascii="Times New Roman" w:hAnsi="Times New Roman" w:cs="Times New Roman"/>
                <w:sz w:val="20"/>
                <w:szCs w:val="24"/>
              </w:rPr>
              <w:t>90</w:t>
            </w:r>
          </w:p>
        </w:tc>
        <w:tc>
          <w:tcPr>
            <w:tcW w:w="4644" w:type="dxa"/>
            <w:shd w:val="clear" w:color="auto" w:fill="auto"/>
            <w:vAlign w:val="center"/>
          </w:tcPr>
          <w:p w:rsidR="00950BDF" w:rsidRPr="009E067D" w:rsidRDefault="00950BDF" w:rsidP="00E44C19">
            <w:pPr>
              <w:spacing w:after="0" w:line="240" w:lineRule="auto"/>
              <w:rPr>
                <w:rFonts w:ascii="Times New Roman" w:hAnsi="Times New Roman" w:cs="Times New Roman"/>
                <w:sz w:val="20"/>
                <w:szCs w:val="24"/>
              </w:rPr>
            </w:pPr>
            <w:r w:rsidRPr="009E067D">
              <w:rPr>
                <w:rFonts w:ascii="Times New Roman" w:hAnsi="Times New Roman" w:cs="Times New Roman"/>
                <w:sz w:val="20"/>
                <w:szCs w:val="24"/>
              </w:rPr>
              <w:t>International Atomic Energy Agency, 2013</w:t>
            </w:r>
          </w:p>
        </w:tc>
      </w:tr>
      <w:tr w:rsidR="00950BDF" w:rsidRPr="009E067D" w:rsidTr="00037C98">
        <w:trPr>
          <w:jc w:val="center"/>
        </w:trPr>
        <w:tc>
          <w:tcPr>
            <w:tcW w:w="2376" w:type="dxa"/>
            <w:tcBorders>
              <w:right w:val="single" w:sz="12" w:space="0" w:color="auto"/>
            </w:tcBorders>
            <w:shd w:val="clear" w:color="auto" w:fill="auto"/>
            <w:vAlign w:val="center"/>
          </w:tcPr>
          <w:p w:rsidR="00950BDF" w:rsidRPr="009E067D" w:rsidRDefault="00950BDF" w:rsidP="00E44C19">
            <w:pPr>
              <w:spacing w:after="0" w:line="240" w:lineRule="auto"/>
              <w:rPr>
                <w:rFonts w:ascii="Times New Roman" w:hAnsi="Times New Roman" w:cs="Times New Roman"/>
                <w:sz w:val="20"/>
                <w:szCs w:val="24"/>
              </w:rPr>
            </w:pPr>
            <w:r w:rsidRPr="009E067D">
              <w:rPr>
                <w:rFonts w:ascii="Times New Roman" w:hAnsi="Times New Roman" w:cs="Times New Roman"/>
                <w:sz w:val="20"/>
                <w:szCs w:val="24"/>
              </w:rPr>
              <w:t>St. PetersburgAEPfigures</w:t>
            </w:r>
          </w:p>
        </w:tc>
        <w:tc>
          <w:tcPr>
            <w:tcW w:w="2268" w:type="dxa"/>
            <w:tcBorders>
              <w:left w:val="single" w:sz="12" w:space="0" w:color="auto"/>
            </w:tcBorders>
            <w:shd w:val="clear" w:color="auto" w:fill="auto"/>
            <w:vAlign w:val="center"/>
          </w:tcPr>
          <w:p w:rsidR="00950BDF" w:rsidRPr="009E067D" w:rsidRDefault="0012265D" w:rsidP="00E44C19">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90</w:t>
            </w:r>
            <w:r w:rsidR="00950BDF" w:rsidRPr="009E067D">
              <w:rPr>
                <w:rFonts w:ascii="Times New Roman" w:hAnsi="Times New Roman" w:cs="Times New Roman"/>
                <w:sz w:val="20"/>
                <w:szCs w:val="24"/>
              </w:rPr>
              <w:t>+</w:t>
            </w:r>
          </w:p>
        </w:tc>
        <w:tc>
          <w:tcPr>
            <w:tcW w:w="4644" w:type="dxa"/>
            <w:shd w:val="clear" w:color="auto" w:fill="auto"/>
            <w:vAlign w:val="center"/>
          </w:tcPr>
          <w:p w:rsidR="00950BDF" w:rsidRPr="009E067D" w:rsidRDefault="00950BDF" w:rsidP="00E44C19">
            <w:pPr>
              <w:spacing w:after="0" w:line="240" w:lineRule="auto"/>
              <w:rPr>
                <w:rFonts w:ascii="Times New Roman" w:hAnsi="Times New Roman" w:cs="Times New Roman"/>
                <w:sz w:val="20"/>
                <w:szCs w:val="24"/>
              </w:rPr>
            </w:pPr>
            <w:r w:rsidRPr="009E067D">
              <w:rPr>
                <w:rFonts w:ascii="Times New Roman" w:hAnsi="Times New Roman" w:cs="Times New Roman"/>
                <w:sz w:val="20"/>
                <w:szCs w:val="24"/>
              </w:rPr>
              <w:t>Rosatompresentation</w:t>
            </w:r>
          </w:p>
        </w:tc>
      </w:tr>
      <w:tr w:rsidR="00950BDF" w:rsidRPr="009E067D" w:rsidTr="00037C98">
        <w:trPr>
          <w:jc w:val="center"/>
        </w:trPr>
        <w:tc>
          <w:tcPr>
            <w:tcW w:w="2376" w:type="dxa"/>
            <w:tcBorders>
              <w:right w:val="single" w:sz="12" w:space="0" w:color="auto"/>
            </w:tcBorders>
            <w:shd w:val="clear" w:color="auto" w:fill="auto"/>
            <w:vAlign w:val="center"/>
          </w:tcPr>
          <w:p w:rsidR="00950BDF" w:rsidRPr="009E067D" w:rsidRDefault="00950BDF" w:rsidP="00E44C19">
            <w:pPr>
              <w:spacing w:after="0" w:line="240" w:lineRule="auto"/>
              <w:rPr>
                <w:rFonts w:ascii="Times New Roman" w:hAnsi="Times New Roman" w:cs="Times New Roman"/>
                <w:sz w:val="20"/>
                <w:szCs w:val="24"/>
              </w:rPr>
            </w:pPr>
            <w:r w:rsidRPr="009E067D">
              <w:rPr>
                <w:rFonts w:ascii="Times New Roman" w:hAnsi="Times New Roman" w:cs="Times New Roman"/>
                <w:sz w:val="20"/>
                <w:szCs w:val="24"/>
              </w:rPr>
              <w:t>MoscowAEPfigures</w:t>
            </w:r>
          </w:p>
        </w:tc>
        <w:tc>
          <w:tcPr>
            <w:tcW w:w="2268" w:type="dxa"/>
            <w:tcBorders>
              <w:left w:val="single" w:sz="12" w:space="0" w:color="auto"/>
            </w:tcBorders>
            <w:shd w:val="clear" w:color="auto" w:fill="auto"/>
            <w:vAlign w:val="center"/>
          </w:tcPr>
          <w:p w:rsidR="00950BDF" w:rsidRPr="009E067D" w:rsidRDefault="0012265D" w:rsidP="00E44C19">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90</w:t>
            </w:r>
            <w:r w:rsidR="00950BDF" w:rsidRPr="009E067D">
              <w:rPr>
                <w:rFonts w:ascii="Times New Roman" w:hAnsi="Times New Roman" w:cs="Times New Roman"/>
                <w:sz w:val="20"/>
                <w:szCs w:val="24"/>
              </w:rPr>
              <w:t>+</w:t>
            </w:r>
          </w:p>
        </w:tc>
        <w:tc>
          <w:tcPr>
            <w:tcW w:w="4644" w:type="dxa"/>
            <w:shd w:val="clear" w:color="auto" w:fill="auto"/>
            <w:vAlign w:val="center"/>
          </w:tcPr>
          <w:p w:rsidR="00950BDF" w:rsidRPr="009E067D" w:rsidRDefault="00950BDF" w:rsidP="00E44C19">
            <w:pPr>
              <w:spacing w:after="0" w:line="240" w:lineRule="auto"/>
              <w:rPr>
                <w:rFonts w:ascii="Times New Roman" w:hAnsi="Times New Roman" w:cs="Times New Roman"/>
                <w:sz w:val="20"/>
                <w:szCs w:val="24"/>
              </w:rPr>
            </w:pPr>
            <w:r w:rsidRPr="009E067D">
              <w:rPr>
                <w:rFonts w:ascii="Times New Roman" w:hAnsi="Times New Roman" w:cs="Times New Roman"/>
                <w:sz w:val="20"/>
                <w:szCs w:val="24"/>
              </w:rPr>
              <w:t>Rosatompresentation</w:t>
            </w:r>
          </w:p>
        </w:tc>
      </w:tr>
      <w:tr w:rsidR="00950BDF" w:rsidRPr="009E067D" w:rsidTr="00037C98">
        <w:trPr>
          <w:jc w:val="center"/>
        </w:trPr>
        <w:tc>
          <w:tcPr>
            <w:tcW w:w="2376" w:type="dxa"/>
            <w:tcBorders>
              <w:right w:val="single" w:sz="12" w:space="0" w:color="auto"/>
            </w:tcBorders>
            <w:shd w:val="clear" w:color="auto" w:fill="auto"/>
            <w:vAlign w:val="center"/>
          </w:tcPr>
          <w:p w:rsidR="00950BDF" w:rsidRPr="009E067D" w:rsidRDefault="00950BDF" w:rsidP="00E44C19">
            <w:pPr>
              <w:spacing w:after="0" w:line="240" w:lineRule="auto"/>
              <w:rPr>
                <w:rFonts w:ascii="Times New Roman" w:hAnsi="Times New Roman" w:cs="Times New Roman"/>
                <w:sz w:val="20"/>
                <w:szCs w:val="24"/>
              </w:rPr>
            </w:pPr>
            <w:r w:rsidRPr="009E067D">
              <w:rPr>
                <w:rFonts w:ascii="Times New Roman" w:hAnsi="Times New Roman" w:cs="Times New Roman"/>
                <w:sz w:val="20"/>
                <w:szCs w:val="24"/>
              </w:rPr>
              <w:t>AngraPWR</w:t>
            </w:r>
          </w:p>
        </w:tc>
        <w:tc>
          <w:tcPr>
            <w:tcW w:w="2268" w:type="dxa"/>
            <w:tcBorders>
              <w:left w:val="single" w:sz="12" w:space="0" w:color="auto"/>
            </w:tcBorders>
            <w:shd w:val="clear" w:color="auto" w:fill="auto"/>
            <w:vAlign w:val="center"/>
          </w:tcPr>
          <w:p w:rsidR="00950BDF" w:rsidRPr="009E067D" w:rsidRDefault="00950BDF" w:rsidP="0012265D">
            <w:pPr>
              <w:spacing w:after="0" w:line="240" w:lineRule="auto"/>
              <w:jc w:val="center"/>
              <w:rPr>
                <w:rFonts w:ascii="Times New Roman" w:hAnsi="Times New Roman" w:cs="Times New Roman"/>
                <w:sz w:val="20"/>
                <w:szCs w:val="24"/>
              </w:rPr>
            </w:pPr>
            <w:r w:rsidRPr="009E067D">
              <w:rPr>
                <w:rFonts w:ascii="Times New Roman" w:hAnsi="Times New Roman" w:cs="Times New Roman"/>
                <w:sz w:val="20"/>
                <w:szCs w:val="24"/>
              </w:rPr>
              <w:t>91</w:t>
            </w:r>
          </w:p>
        </w:tc>
        <w:tc>
          <w:tcPr>
            <w:tcW w:w="4644" w:type="dxa"/>
            <w:shd w:val="clear" w:color="auto" w:fill="auto"/>
            <w:vAlign w:val="center"/>
          </w:tcPr>
          <w:p w:rsidR="00950BDF" w:rsidRPr="009E067D" w:rsidRDefault="00950BDF" w:rsidP="00E44C19">
            <w:pPr>
              <w:spacing w:after="0" w:line="240" w:lineRule="auto"/>
              <w:rPr>
                <w:rFonts w:ascii="Times New Roman" w:hAnsi="Times New Roman" w:cs="Times New Roman"/>
                <w:sz w:val="20"/>
                <w:szCs w:val="24"/>
              </w:rPr>
            </w:pPr>
            <w:r w:rsidRPr="009E067D">
              <w:rPr>
                <w:rFonts w:ascii="Times New Roman" w:hAnsi="Times New Roman" w:cs="Times New Roman"/>
                <w:sz w:val="20"/>
                <w:szCs w:val="24"/>
              </w:rPr>
              <w:t>International Atomic Energy Agency, 2015</w:t>
            </w:r>
          </w:p>
        </w:tc>
      </w:tr>
      <w:tr w:rsidR="00950BDF" w:rsidRPr="009E067D" w:rsidTr="00037C98">
        <w:trPr>
          <w:jc w:val="center"/>
        </w:trPr>
        <w:tc>
          <w:tcPr>
            <w:tcW w:w="2376" w:type="dxa"/>
            <w:tcBorders>
              <w:right w:val="single" w:sz="12" w:space="0" w:color="auto"/>
            </w:tcBorders>
            <w:shd w:val="clear" w:color="auto" w:fill="auto"/>
            <w:vAlign w:val="center"/>
          </w:tcPr>
          <w:p w:rsidR="00950BDF" w:rsidRPr="009E067D" w:rsidRDefault="00950BDF" w:rsidP="00E44C19">
            <w:pPr>
              <w:spacing w:after="0" w:line="240" w:lineRule="auto"/>
              <w:rPr>
                <w:rFonts w:ascii="Times New Roman" w:hAnsi="Times New Roman" w:cs="Times New Roman"/>
                <w:sz w:val="20"/>
                <w:szCs w:val="24"/>
              </w:rPr>
            </w:pPr>
            <w:r w:rsidRPr="009E067D">
              <w:rPr>
                <w:rFonts w:ascii="Times New Roman" w:hAnsi="Times New Roman" w:cs="Times New Roman"/>
                <w:sz w:val="20"/>
                <w:szCs w:val="24"/>
              </w:rPr>
              <w:t>AveragePWRtechnology</w:t>
            </w:r>
          </w:p>
        </w:tc>
        <w:tc>
          <w:tcPr>
            <w:tcW w:w="2268" w:type="dxa"/>
            <w:tcBorders>
              <w:left w:val="single" w:sz="12" w:space="0" w:color="auto"/>
            </w:tcBorders>
            <w:shd w:val="clear" w:color="auto" w:fill="auto"/>
            <w:vAlign w:val="center"/>
          </w:tcPr>
          <w:p w:rsidR="00950BDF" w:rsidRPr="009E067D" w:rsidRDefault="0012265D" w:rsidP="00E44C19">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91</w:t>
            </w:r>
          </w:p>
        </w:tc>
        <w:tc>
          <w:tcPr>
            <w:tcW w:w="4644" w:type="dxa"/>
            <w:shd w:val="clear" w:color="auto" w:fill="auto"/>
            <w:vAlign w:val="center"/>
          </w:tcPr>
          <w:p w:rsidR="00950BDF" w:rsidRPr="009E067D" w:rsidRDefault="00950BDF" w:rsidP="00E44C19">
            <w:pPr>
              <w:spacing w:after="0" w:line="240" w:lineRule="auto"/>
              <w:rPr>
                <w:rFonts w:ascii="Times New Roman" w:hAnsi="Times New Roman" w:cs="Times New Roman"/>
                <w:sz w:val="20"/>
                <w:szCs w:val="24"/>
              </w:rPr>
            </w:pPr>
            <w:r w:rsidRPr="009E067D">
              <w:rPr>
                <w:rFonts w:ascii="Times New Roman" w:hAnsi="Times New Roman" w:cs="Times New Roman"/>
                <w:sz w:val="20"/>
                <w:szCs w:val="24"/>
              </w:rPr>
              <w:t>Fortumpresentation</w:t>
            </w:r>
          </w:p>
        </w:tc>
      </w:tr>
      <w:tr w:rsidR="00950BDF" w:rsidRPr="009E067D" w:rsidTr="00037C98">
        <w:trPr>
          <w:jc w:val="center"/>
        </w:trPr>
        <w:tc>
          <w:tcPr>
            <w:tcW w:w="2376" w:type="dxa"/>
            <w:tcBorders>
              <w:right w:val="single" w:sz="12" w:space="0" w:color="auto"/>
            </w:tcBorders>
            <w:shd w:val="clear" w:color="auto" w:fill="auto"/>
            <w:vAlign w:val="center"/>
          </w:tcPr>
          <w:p w:rsidR="00950BDF" w:rsidRPr="009E067D" w:rsidRDefault="00950BDF" w:rsidP="00E44C19">
            <w:pPr>
              <w:spacing w:after="0" w:line="240" w:lineRule="auto"/>
              <w:rPr>
                <w:rFonts w:ascii="Times New Roman" w:hAnsi="Times New Roman" w:cs="Times New Roman"/>
                <w:b/>
                <w:sz w:val="20"/>
                <w:szCs w:val="24"/>
              </w:rPr>
            </w:pPr>
            <w:r w:rsidRPr="009E067D">
              <w:rPr>
                <w:rFonts w:ascii="Times New Roman" w:hAnsi="Times New Roman" w:cs="Times New Roman"/>
                <w:b/>
                <w:sz w:val="20"/>
                <w:szCs w:val="24"/>
              </w:rPr>
              <w:t xml:space="preserve">Максимално </w:t>
            </w:r>
          </w:p>
        </w:tc>
        <w:tc>
          <w:tcPr>
            <w:tcW w:w="2268" w:type="dxa"/>
            <w:tcBorders>
              <w:left w:val="single" w:sz="12" w:space="0" w:color="auto"/>
            </w:tcBorders>
            <w:shd w:val="clear" w:color="auto" w:fill="auto"/>
            <w:vAlign w:val="center"/>
          </w:tcPr>
          <w:p w:rsidR="00950BDF" w:rsidRPr="009E067D" w:rsidRDefault="0012265D" w:rsidP="00E44C19">
            <w:pPr>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92</w:t>
            </w:r>
          </w:p>
        </w:tc>
        <w:tc>
          <w:tcPr>
            <w:tcW w:w="4644" w:type="dxa"/>
            <w:vMerge w:val="restart"/>
            <w:shd w:val="clear" w:color="auto" w:fill="auto"/>
            <w:vAlign w:val="center"/>
          </w:tcPr>
          <w:p w:rsidR="00950BDF" w:rsidRPr="009E067D" w:rsidRDefault="00950BDF" w:rsidP="00E44C19">
            <w:pPr>
              <w:spacing w:after="0" w:line="240" w:lineRule="auto"/>
              <w:rPr>
                <w:rFonts w:ascii="Times New Roman" w:hAnsi="Times New Roman" w:cs="Times New Roman"/>
                <w:sz w:val="20"/>
                <w:szCs w:val="24"/>
              </w:rPr>
            </w:pPr>
          </w:p>
        </w:tc>
      </w:tr>
      <w:tr w:rsidR="00950BDF" w:rsidRPr="009E067D" w:rsidTr="00037C98">
        <w:trPr>
          <w:jc w:val="center"/>
        </w:trPr>
        <w:tc>
          <w:tcPr>
            <w:tcW w:w="2376" w:type="dxa"/>
            <w:tcBorders>
              <w:right w:val="single" w:sz="12" w:space="0" w:color="auto"/>
            </w:tcBorders>
            <w:shd w:val="clear" w:color="auto" w:fill="auto"/>
            <w:vAlign w:val="center"/>
          </w:tcPr>
          <w:p w:rsidR="00950BDF" w:rsidRPr="009E067D" w:rsidRDefault="00950BDF" w:rsidP="00E44C19">
            <w:pPr>
              <w:spacing w:after="0" w:line="240" w:lineRule="auto"/>
              <w:rPr>
                <w:rFonts w:ascii="Times New Roman" w:hAnsi="Times New Roman" w:cs="Times New Roman"/>
                <w:b/>
                <w:sz w:val="20"/>
                <w:szCs w:val="24"/>
              </w:rPr>
            </w:pPr>
            <w:r w:rsidRPr="009E067D">
              <w:rPr>
                <w:rFonts w:ascii="Times New Roman" w:hAnsi="Times New Roman" w:cs="Times New Roman"/>
                <w:b/>
                <w:sz w:val="20"/>
                <w:szCs w:val="24"/>
              </w:rPr>
              <w:t>Минимално</w:t>
            </w:r>
          </w:p>
        </w:tc>
        <w:tc>
          <w:tcPr>
            <w:tcW w:w="2268" w:type="dxa"/>
            <w:tcBorders>
              <w:left w:val="single" w:sz="12" w:space="0" w:color="auto"/>
            </w:tcBorders>
            <w:shd w:val="clear" w:color="auto" w:fill="auto"/>
            <w:vAlign w:val="center"/>
          </w:tcPr>
          <w:p w:rsidR="00950BDF" w:rsidRPr="009E067D" w:rsidRDefault="0012265D" w:rsidP="00E44C19">
            <w:pPr>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90</w:t>
            </w:r>
          </w:p>
        </w:tc>
        <w:tc>
          <w:tcPr>
            <w:tcW w:w="4644" w:type="dxa"/>
            <w:vMerge/>
            <w:shd w:val="clear" w:color="auto" w:fill="auto"/>
            <w:vAlign w:val="center"/>
          </w:tcPr>
          <w:p w:rsidR="00950BDF" w:rsidRPr="009E067D" w:rsidRDefault="00950BDF" w:rsidP="00E44C19">
            <w:pPr>
              <w:spacing w:after="0" w:line="240" w:lineRule="auto"/>
              <w:rPr>
                <w:rFonts w:ascii="Times New Roman" w:hAnsi="Times New Roman" w:cs="Times New Roman"/>
                <w:sz w:val="20"/>
                <w:szCs w:val="24"/>
              </w:rPr>
            </w:pPr>
          </w:p>
        </w:tc>
      </w:tr>
      <w:tr w:rsidR="00950BDF" w:rsidRPr="009E067D" w:rsidTr="00037C98">
        <w:trPr>
          <w:jc w:val="center"/>
        </w:trPr>
        <w:tc>
          <w:tcPr>
            <w:tcW w:w="2376" w:type="dxa"/>
            <w:tcBorders>
              <w:bottom w:val="single" w:sz="12" w:space="0" w:color="auto"/>
              <w:right w:val="single" w:sz="12" w:space="0" w:color="auto"/>
            </w:tcBorders>
            <w:shd w:val="clear" w:color="auto" w:fill="auto"/>
            <w:vAlign w:val="center"/>
          </w:tcPr>
          <w:p w:rsidR="00950BDF" w:rsidRPr="009E067D" w:rsidRDefault="00950BDF" w:rsidP="00E44C19">
            <w:pPr>
              <w:spacing w:after="0" w:line="240" w:lineRule="auto"/>
              <w:rPr>
                <w:rFonts w:ascii="Times New Roman" w:hAnsi="Times New Roman" w:cs="Times New Roman"/>
                <w:b/>
                <w:sz w:val="20"/>
                <w:szCs w:val="24"/>
              </w:rPr>
            </w:pPr>
            <w:r w:rsidRPr="009E067D">
              <w:rPr>
                <w:rFonts w:ascii="Times New Roman" w:hAnsi="Times New Roman" w:cs="Times New Roman"/>
                <w:b/>
                <w:sz w:val="20"/>
                <w:szCs w:val="24"/>
              </w:rPr>
              <w:t xml:space="preserve">Средно </w:t>
            </w:r>
          </w:p>
        </w:tc>
        <w:tc>
          <w:tcPr>
            <w:tcW w:w="2268" w:type="dxa"/>
            <w:tcBorders>
              <w:left w:val="single" w:sz="12" w:space="0" w:color="auto"/>
            </w:tcBorders>
            <w:shd w:val="clear" w:color="auto" w:fill="auto"/>
            <w:vAlign w:val="center"/>
          </w:tcPr>
          <w:p w:rsidR="00950BDF" w:rsidRPr="009E067D" w:rsidRDefault="0012265D" w:rsidP="00E44C19">
            <w:pPr>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91</w:t>
            </w:r>
          </w:p>
        </w:tc>
        <w:tc>
          <w:tcPr>
            <w:tcW w:w="4644" w:type="dxa"/>
            <w:vMerge/>
            <w:shd w:val="clear" w:color="auto" w:fill="auto"/>
            <w:vAlign w:val="center"/>
          </w:tcPr>
          <w:p w:rsidR="00950BDF" w:rsidRPr="009E067D" w:rsidRDefault="00950BDF" w:rsidP="00E44C19">
            <w:pPr>
              <w:spacing w:after="0" w:line="240" w:lineRule="auto"/>
              <w:rPr>
                <w:rFonts w:ascii="Times New Roman" w:hAnsi="Times New Roman" w:cs="Times New Roman"/>
                <w:sz w:val="20"/>
                <w:szCs w:val="24"/>
              </w:rPr>
            </w:pPr>
          </w:p>
        </w:tc>
      </w:tr>
    </w:tbl>
    <w:p w:rsidR="00950BDF" w:rsidRPr="009E067D" w:rsidRDefault="00037C98" w:rsidP="00E44C19">
      <w:pPr>
        <w:spacing w:before="120" w:after="120" w:line="240" w:lineRule="auto"/>
        <w:jc w:val="both"/>
        <w:rPr>
          <w:rFonts w:ascii="Times New Roman" w:hAnsi="Times New Roman" w:cs="Times New Roman"/>
          <w:sz w:val="20"/>
          <w:szCs w:val="24"/>
        </w:rPr>
      </w:pPr>
      <w:r>
        <w:rPr>
          <w:rFonts w:ascii="Times New Roman" w:hAnsi="Times New Roman" w:cs="Times New Roman"/>
          <w:sz w:val="20"/>
          <w:szCs w:val="24"/>
        </w:rPr>
        <w:t>Източник: Rothschild.</w:t>
      </w:r>
      <w:r w:rsidR="00010DC4">
        <w:rPr>
          <w:rFonts w:ascii="Times New Roman" w:hAnsi="Times New Roman" w:cs="Times New Roman"/>
          <w:sz w:val="20"/>
          <w:szCs w:val="24"/>
        </w:rPr>
        <w:t xml:space="preserve"> </w:t>
      </w:r>
      <w:r>
        <w:rPr>
          <w:rFonts w:ascii="Times New Roman" w:hAnsi="Times New Roman" w:cs="Times New Roman"/>
          <w:sz w:val="20"/>
          <w:szCs w:val="24"/>
        </w:rPr>
        <w:t>(</w:t>
      </w:r>
      <w:r w:rsidR="00950BDF" w:rsidRPr="009E067D">
        <w:rPr>
          <w:rFonts w:ascii="Times New Roman" w:hAnsi="Times New Roman" w:cs="Times New Roman"/>
          <w:sz w:val="20"/>
          <w:szCs w:val="24"/>
        </w:rPr>
        <w:t>2015</w:t>
      </w:r>
      <w:r>
        <w:rPr>
          <w:rFonts w:ascii="Times New Roman" w:hAnsi="Times New Roman" w:cs="Times New Roman"/>
          <w:sz w:val="20"/>
          <w:szCs w:val="24"/>
        </w:rPr>
        <w:t>).</w:t>
      </w:r>
      <w:r w:rsidR="00010DC4">
        <w:rPr>
          <w:rFonts w:ascii="Times New Roman" w:hAnsi="Times New Roman" w:cs="Times New Roman"/>
          <w:sz w:val="20"/>
          <w:szCs w:val="24"/>
        </w:rPr>
        <w:t xml:space="preserve"> </w:t>
      </w:r>
      <w:r w:rsidR="00950BDF" w:rsidRPr="009E067D">
        <w:rPr>
          <w:rFonts w:ascii="Times New Roman" w:hAnsi="Times New Roman" w:cs="Times New Roman"/>
          <w:color w:val="000000"/>
          <w:sz w:val="20"/>
          <w:szCs w:val="24"/>
        </w:rPr>
        <w:t>Economic analysis</w:t>
      </w:r>
      <w:r w:rsidR="00010DC4">
        <w:rPr>
          <w:rFonts w:ascii="Times New Roman" w:hAnsi="Times New Roman" w:cs="Times New Roman"/>
          <w:color w:val="000000"/>
          <w:sz w:val="20"/>
          <w:szCs w:val="24"/>
        </w:rPr>
        <w:t xml:space="preserve"> </w:t>
      </w:r>
      <w:r w:rsidR="00950BDF" w:rsidRPr="009E067D">
        <w:rPr>
          <w:rFonts w:ascii="Times New Roman" w:hAnsi="Times New Roman" w:cs="Times New Roman"/>
          <w:color w:val="000000"/>
          <w:sz w:val="20"/>
          <w:szCs w:val="24"/>
        </w:rPr>
        <w:t>for</w:t>
      </w:r>
      <w:r w:rsidR="00010DC4">
        <w:rPr>
          <w:rFonts w:ascii="Times New Roman" w:hAnsi="Times New Roman" w:cs="Times New Roman"/>
          <w:color w:val="000000"/>
          <w:sz w:val="20"/>
          <w:szCs w:val="24"/>
        </w:rPr>
        <w:t xml:space="preserve"> </w:t>
      </w:r>
      <w:r w:rsidR="00950BDF" w:rsidRPr="009E067D">
        <w:rPr>
          <w:rFonts w:ascii="Times New Roman" w:hAnsi="Times New Roman" w:cs="Times New Roman"/>
          <w:color w:val="000000"/>
          <w:sz w:val="20"/>
          <w:szCs w:val="24"/>
        </w:rPr>
        <w:t>the</w:t>
      </w:r>
      <w:r w:rsidR="00010DC4">
        <w:rPr>
          <w:rFonts w:ascii="Times New Roman" w:hAnsi="Times New Roman" w:cs="Times New Roman"/>
          <w:color w:val="000000"/>
          <w:sz w:val="20"/>
          <w:szCs w:val="24"/>
        </w:rPr>
        <w:t xml:space="preserve"> </w:t>
      </w:r>
      <w:r w:rsidR="00950BDF" w:rsidRPr="009E067D">
        <w:rPr>
          <w:rFonts w:ascii="Times New Roman" w:hAnsi="Times New Roman" w:cs="Times New Roman"/>
          <w:color w:val="000000"/>
          <w:sz w:val="20"/>
          <w:szCs w:val="24"/>
        </w:rPr>
        <w:t>Paks II</w:t>
      </w:r>
      <w:r w:rsidR="00010DC4">
        <w:rPr>
          <w:rFonts w:ascii="Times New Roman" w:hAnsi="Times New Roman" w:cs="Times New Roman"/>
          <w:color w:val="000000"/>
          <w:sz w:val="20"/>
          <w:szCs w:val="24"/>
        </w:rPr>
        <w:t xml:space="preserve"> </w:t>
      </w:r>
      <w:r w:rsidR="00950BDF" w:rsidRPr="009E067D">
        <w:rPr>
          <w:rFonts w:ascii="Times New Roman" w:hAnsi="Times New Roman" w:cs="Times New Roman"/>
          <w:sz w:val="20"/>
          <w:szCs w:val="24"/>
        </w:rPr>
        <w:t>n</w:t>
      </w:r>
      <w:r w:rsidR="00950BDF" w:rsidRPr="009E067D">
        <w:rPr>
          <w:rFonts w:ascii="Times New Roman" w:hAnsi="Times New Roman" w:cs="Times New Roman"/>
          <w:color w:val="000000"/>
          <w:sz w:val="20"/>
          <w:szCs w:val="24"/>
        </w:rPr>
        <w:t>uclear</w:t>
      </w:r>
      <w:r w:rsidR="00010DC4">
        <w:rPr>
          <w:rFonts w:ascii="Times New Roman" w:hAnsi="Times New Roman" w:cs="Times New Roman"/>
          <w:color w:val="000000"/>
          <w:sz w:val="20"/>
          <w:szCs w:val="24"/>
        </w:rPr>
        <w:t xml:space="preserve"> </w:t>
      </w:r>
      <w:r w:rsidR="00950BDF" w:rsidRPr="009E067D">
        <w:rPr>
          <w:rFonts w:ascii="Times New Roman" w:hAnsi="Times New Roman" w:cs="Times New Roman"/>
          <w:color w:val="000000"/>
          <w:sz w:val="20"/>
          <w:szCs w:val="24"/>
        </w:rPr>
        <w:t>power</w:t>
      </w:r>
      <w:r w:rsidR="00010DC4">
        <w:rPr>
          <w:rFonts w:ascii="Times New Roman" w:hAnsi="Times New Roman" w:cs="Times New Roman"/>
          <w:color w:val="000000"/>
          <w:sz w:val="20"/>
          <w:szCs w:val="24"/>
        </w:rPr>
        <w:t xml:space="preserve"> </w:t>
      </w:r>
      <w:r w:rsidR="00950BDF" w:rsidRPr="009E067D">
        <w:rPr>
          <w:rFonts w:ascii="Times New Roman" w:hAnsi="Times New Roman" w:cs="Times New Roman"/>
          <w:color w:val="000000"/>
          <w:sz w:val="20"/>
          <w:szCs w:val="24"/>
        </w:rPr>
        <w:t>project</w:t>
      </w:r>
      <w:r w:rsidR="00950BDF" w:rsidRPr="009E067D">
        <w:rPr>
          <w:rFonts w:ascii="Times New Roman" w:hAnsi="Times New Roman" w:cs="Times New Roman"/>
          <w:sz w:val="20"/>
          <w:szCs w:val="24"/>
        </w:rPr>
        <w:t>. A rational</w:t>
      </w:r>
      <w:r w:rsidR="00010DC4">
        <w:rPr>
          <w:rFonts w:ascii="Times New Roman" w:hAnsi="Times New Roman" w:cs="Times New Roman"/>
          <w:sz w:val="20"/>
          <w:szCs w:val="24"/>
        </w:rPr>
        <w:t xml:space="preserve"> </w:t>
      </w:r>
      <w:r w:rsidR="00950BDF" w:rsidRPr="009E067D">
        <w:rPr>
          <w:rFonts w:ascii="Times New Roman" w:hAnsi="Times New Roman" w:cs="Times New Roman"/>
          <w:sz w:val="20"/>
          <w:szCs w:val="24"/>
        </w:rPr>
        <w:t>investment</w:t>
      </w:r>
      <w:r w:rsidR="00010DC4">
        <w:rPr>
          <w:rFonts w:ascii="Times New Roman" w:hAnsi="Times New Roman" w:cs="Times New Roman"/>
          <w:sz w:val="20"/>
          <w:szCs w:val="24"/>
        </w:rPr>
        <w:t xml:space="preserve"> </w:t>
      </w:r>
      <w:r w:rsidR="00950BDF" w:rsidRPr="009E067D">
        <w:rPr>
          <w:rFonts w:ascii="Times New Roman" w:hAnsi="Times New Roman" w:cs="Times New Roman"/>
          <w:sz w:val="20"/>
          <w:szCs w:val="24"/>
        </w:rPr>
        <w:t>case</w:t>
      </w:r>
      <w:r w:rsidR="00010DC4">
        <w:rPr>
          <w:rFonts w:ascii="Times New Roman" w:hAnsi="Times New Roman" w:cs="Times New Roman"/>
          <w:sz w:val="20"/>
          <w:szCs w:val="24"/>
        </w:rPr>
        <w:t xml:space="preserve"> </w:t>
      </w:r>
      <w:r w:rsidR="00950BDF" w:rsidRPr="009E067D">
        <w:rPr>
          <w:rFonts w:ascii="Times New Roman" w:hAnsi="Times New Roman" w:cs="Times New Roman"/>
          <w:sz w:val="20"/>
          <w:szCs w:val="24"/>
        </w:rPr>
        <w:t>for</w:t>
      </w:r>
      <w:r w:rsidR="00010DC4">
        <w:rPr>
          <w:rFonts w:ascii="Times New Roman" w:hAnsi="Times New Roman" w:cs="Times New Roman"/>
          <w:sz w:val="20"/>
          <w:szCs w:val="24"/>
        </w:rPr>
        <w:t xml:space="preserve"> </w:t>
      </w:r>
      <w:r w:rsidR="00950BDF" w:rsidRPr="009E067D">
        <w:rPr>
          <w:rFonts w:ascii="Times New Roman" w:hAnsi="Times New Roman" w:cs="Times New Roman"/>
          <w:sz w:val="20"/>
          <w:szCs w:val="24"/>
        </w:rPr>
        <w:t xml:space="preserve">Hungarian State Resources. </w:t>
      </w:r>
      <w:r w:rsidR="00950BDF" w:rsidRPr="009E067D">
        <w:rPr>
          <w:rFonts w:ascii="Times New Roman" w:hAnsi="Times New Roman" w:cs="Times New Roman"/>
          <w:sz w:val="20"/>
          <w:szCs w:val="24"/>
          <w:lang w:val="en-US"/>
        </w:rPr>
        <w:t>p</w:t>
      </w:r>
      <w:r w:rsidR="00950BDF" w:rsidRPr="009E067D">
        <w:rPr>
          <w:rFonts w:ascii="Times New Roman" w:hAnsi="Times New Roman" w:cs="Times New Roman"/>
          <w:sz w:val="20"/>
          <w:szCs w:val="24"/>
        </w:rPr>
        <w:t>. 28</w:t>
      </w:r>
      <w:r w:rsidR="00950BDF" w:rsidRPr="009E067D">
        <w:rPr>
          <w:rFonts w:ascii="Times New Roman" w:hAnsi="Times New Roman" w:cs="Times New Roman"/>
          <w:sz w:val="20"/>
          <w:szCs w:val="24"/>
          <w:lang w:val="en-US"/>
        </w:rPr>
        <w:t>.</w:t>
      </w:r>
    </w:p>
    <w:p w:rsidR="00950BDF" w:rsidRPr="00950BDF" w:rsidRDefault="00950BDF" w:rsidP="00E44C19">
      <w:pPr>
        <w:spacing w:before="120" w:after="120" w:line="240" w:lineRule="auto"/>
        <w:rPr>
          <w:rFonts w:ascii="Times New Roman" w:hAnsi="Times New Roman" w:cs="Times New Roman"/>
          <w:sz w:val="24"/>
          <w:szCs w:val="24"/>
        </w:rPr>
      </w:pPr>
    </w:p>
    <w:p w:rsidR="00950BDF" w:rsidRPr="009E067D" w:rsidRDefault="00950BDF" w:rsidP="00E44C19">
      <w:pPr>
        <w:pStyle w:val="Heading4"/>
        <w:spacing w:before="120" w:after="120" w:line="240" w:lineRule="auto"/>
        <w:rPr>
          <w:rFonts w:ascii="Times New Roman" w:hAnsi="Times New Roman" w:cs="Times New Roman"/>
          <w:color w:val="auto"/>
          <w:sz w:val="24"/>
          <w:szCs w:val="24"/>
        </w:rPr>
      </w:pPr>
      <w:r w:rsidRPr="009E067D">
        <w:rPr>
          <w:rFonts w:ascii="Times New Roman" w:hAnsi="Times New Roman" w:cs="Times New Roman"/>
          <w:color w:val="auto"/>
          <w:sz w:val="24"/>
          <w:szCs w:val="24"/>
        </w:rPr>
        <w:t>Основни допускания за оперативните разходи и разходите за поддръжка</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Оперативните разходи на п</w:t>
      </w:r>
      <w:r w:rsidR="00037C98">
        <w:rPr>
          <w:rFonts w:ascii="Times New Roman" w:hAnsi="Times New Roman" w:cs="Times New Roman"/>
          <w:sz w:val="24"/>
          <w:szCs w:val="24"/>
        </w:rPr>
        <w:t>роекта са разделени в две групи –</w:t>
      </w:r>
      <w:r w:rsidRPr="00950BDF">
        <w:rPr>
          <w:rFonts w:ascii="Times New Roman" w:hAnsi="Times New Roman" w:cs="Times New Roman"/>
          <w:sz w:val="24"/>
          <w:szCs w:val="24"/>
        </w:rPr>
        <w:t xml:space="preserve"> постоянни и променливи</w:t>
      </w:r>
      <w:r w:rsidR="00037C98">
        <w:rPr>
          <w:rFonts w:ascii="Times New Roman" w:hAnsi="Times New Roman" w:cs="Times New Roman"/>
          <w:sz w:val="24"/>
          <w:szCs w:val="24"/>
        </w:rPr>
        <w:t>.</w:t>
      </w:r>
      <w:r w:rsidR="00037C98" w:rsidRPr="00950BDF">
        <w:rPr>
          <w:rFonts w:ascii="Times New Roman" w:hAnsi="Times New Roman" w:cs="Times New Roman"/>
          <w:sz w:val="24"/>
          <w:szCs w:val="24"/>
        </w:rPr>
        <w:t>С</w:t>
      </w:r>
      <w:r w:rsidRPr="00950BDF">
        <w:rPr>
          <w:rFonts w:ascii="Times New Roman" w:hAnsi="Times New Roman" w:cs="Times New Roman"/>
          <w:sz w:val="24"/>
          <w:szCs w:val="24"/>
        </w:rPr>
        <w:t>поред това групиране е приложен различен подход за тяхното остойностяване и прогнозиране.</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Постоянните разходи включват: разходи за персонал (в т.ч. възнаграждения и осигурителни плащания), разходи за ядрено гориво и реагенти, разходи за текущи ремонти, разходи за външни услуги (без водоползване и ремонти)</w:t>
      </w:r>
      <w:r w:rsidR="00037C98">
        <w:rPr>
          <w:rFonts w:ascii="Times New Roman" w:hAnsi="Times New Roman" w:cs="Times New Roman"/>
          <w:sz w:val="24"/>
          <w:szCs w:val="24"/>
        </w:rPr>
        <w:t>,</w:t>
      </w:r>
      <w:r w:rsidRPr="00950BDF">
        <w:rPr>
          <w:rFonts w:ascii="Times New Roman" w:hAnsi="Times New Roman" w:cs="Times New Roman"/>
          <w:sz w:val="24"/>
          <w:szCs w:val="24"/>
        </w:rPr>
        <w:t xml:space="preserve"> и разходи за застраховка на имуществото и ядрена вреда.</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Променливите разход</w:t>
      </w:r>
      <w:r w:rsidR="00037C98">
        <w:rPr>
          <w:rFonts w:ascii="Times New Roman" w:hAnsi="Times New Roman" w:cs="Times New Roman"/>
          <w:sz w:val="24"/>
          <w:szCs w:val="24"/>
        </w:rPr>
        <w:t>и включват: разходи за водоползване и разходи</w:t>
      </w:r>
      <w:r w:rsidRPr="00950BDF">
        <w:rPr>
          <w:rFonts w:ascii="Times New Roman" w:hAnsi="Times New Roman" w:cs="Times New Roman"/>
          <w:sz w:val="24"/>
          <w:szCs w:val="24"/>
        </w:rPr>
        <w:t xml:space="preserve"> за материали (без ядреното гориво).</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В допълнение към тези разходи са прогнозирани и още една група разходи, които са характерни за експлоатацията на ядрени електроцентрали – разходи за управление на радиоактивни отпадъци (РАО), разходи за извеждане от експлоатация</w:t>
      </w:r>
      <w:r w:rsidR="00037C98">
        <w:rPr>
          <w:rFonts w:ascii="Times New Roman" w:hAnsi="Times New Roman" w:cs="Times New Roman"/>
          <w:sz w:val="24"/>
          <w:szCs w:val="24"/>
        </w:rPr>
        <w:t>,</w:t>
      </w:r>
      <w:r w:rsidRPr="00950BDF">
        <w:rPr>
          <w:rFonts w:ascii="Times New Roman" w:hAnsi="Times New Roman" w:cs="Times New Roman"/>
          <w:sz w:val="24"/>
          <w:szCs w:val="24"/>
        </w:rPr>
        <w:t xml:space="preserve"> и разходи за фонд „СЕС“.</w:t>
      </w:r>
    </w:p>
    <w:p w:rsidR="00950BDF" w:rsidRPr="00950BDF" w:rsidRDefault="00950BDF" w:rsidP="00E44C19">
      <w:pPr>
        <w:spacing w:before="120" w:after="120" w:line="240" w:lineRule="auto"/>
        <w:rPr>
          <w:rFonts w:ascii="Times New Roman" w:hAnsi="Times New Roman" w:cs="Times New Roman"/>
          <w:sz w:val="24"/>
          <w:szCs w:val="24"/>
        </w:rPr>
      </w:pPr>
    </w:p>
    <w:p w:rsidR="00950BDF" w:rsidRPr="00037C98" w:rsidRDefault="00950BDF" w:rsidP="00E44C19">
      <w:pPr>
        <w:spacing w:before="120" w:after="120" w:line="240" w:lineRule="auto"/>
        <w:rPr>
          <w:rFonts w:ascii="Times New Roman" w:hAnsi="Times New Roman" w:cs="Times New Roman"/>
          <w:sz w:val="24"/>
          <w:szCs w:val="24"/>
          <w:u w:val="single"/>
        </w:rPr>
      </w:pPr>
      <w:r w:rsidRPr="00037C98">
        <w:rPr>
          <w:rFonts w:ascii="Times New Roman" w:hAnsi="Times New Roman" w:cs="Times New Roman"/>
          <w:sz w:val="24"/>
          <w:szCs w:val="24"/>
          <w:u w:val="single"/>
        </w:rPr>
        <w:t>Постоянни разходи</w:t>
      </w:r>
    </w:p>
    <w:p w:rsidR="00950BDF" w:rsidRPr="00950BDF" w:rsidRDefault="00950BDF" w:rsidP="00E44C19">
      <w:pPr>
        <w:spacing w:before="120" w:after="120" w:line="240" w:lineRule="auto"/>
        <w:rPr>
          <w:rFonts w:ascii="Times New Roman" w:hAnsi="Times New Roman" w:cs="Times New Roman"/>
          <w:i/>
          <w:sz w:val="24"/>
          <w:szCs w:val="24"/>
        </w:rPr>
      </w:pPr>
      <w:r w:rsidRPr="00950BDF">
        <w:rPr>
          <w:rFonts w:ascii="Times New Roman" w:hAnsi="Times New Roman" w:cs="Times New Roman"/>
          <w:i/>
          <w:sz w:val="24"/>
          <w:szCs w:val="24"/>
        </w:rPr>
        <w:t xml:space="preserve">Разходи за персонала </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Разходите за персонала са моделирани въз основа на три съставни елемента за всяка категория труд (първа, втора и трета) – среден брой на наетите лица, среден размер на възнагражденията</w:t>
      </w:r>
      <w:r w:rsidR="00037C98">
        <w:rPr>
          <w:rFonts w:ascii="Times New Roman" w:hAnsi="Times New Roman" w:cs="Times New Roman"/>
          <w:sz w:val="24"/>
          <w:szCs w:val="24"/>
        </w:rPr>
        <w:t>,</w:t>
      </w:r>
      <w:r w:rsidRPr="00950BDF">
        <w:rPr>
          <w:rFonts w:ascii="Times New Roman" w:hAnsi="Times New Roman" w:cs="Times New Roman"/>
          <w:sz w:val="24"/>
          <w:szCs w:val="24"/>
        </w:rPr>
        <w:t xml:space="preserve"> и размер на осигурителните вноски. </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По отношение на първия елемент</w:t>
      </w:r>
      <w:r w:rsidR="00037C98">
        <w:rPr>
          <w:rFonts w:ascii="Times New Roman" w:hAnsi="Times New Roman" w:cs="Times New Roman"/>
          <w:sz w:val="24"/>
          <w:szCs w:val="24"/>
        </w:rPr>
        <w:t>,</w:t>
      </w:r>
      <w:r w:rsidRPr="00950BDF">
        <w:rPr>
          <w:rFonts w:ascii="Times New Roman" w:hAnsi="Times New Roman" w:cs="Times New Roman"/>
          <w:sz w:val="24"/>
          <w:szCs w:val="24"/>
        </w:rPr>
        <w:t xml:space="preserve"> в </w:t>
      </w:r>
      <w:r w:rsidRPr="00950BDF">
        <w:rPr>
          <w:rFonts w:ascii="Times New Roman" w:eastAsia="Times New Roman" w:hAnsi="Times New Roman" w:cs="Times New Roman"/>
          <w:color w:val="000000"/>
          <w:sz w:val="24"/>
          <w:szCs w:val="24"/>
        </w:rPr>
        <w:t xml:space="preserve">техническия проект на АЕЦ „Белене“ е посочена численост на </w:t>
      </w:r>
      <w:r w:rsidRPr="00950BDF">
        <w:rPr>
          <w:rFonts w:ascii="Times New Roman" w:hAnsi="Times New Roman" w:cs="Times New Roman"/>
          <w:sz w:val="24"/>
          <w:szCs w:val="24"/>
        </w:rPr>
        <w:t xml:space="preserve">промишлено-производствения персонал от 678 човека за всеки от двата </w:t>
      </w:r>
      <w:r w:rsidRPr="00950BDF">
        <w:rPr>
          <w:rFonts w:ascii="Times New Roman" w:hAnsi="Times New Roman" w:cs="Times New Roman"/>
          <w:sz w:val="24"/>
          <w:szCs w:val="24"/>
        </w:rPr>
        <w:lastRenderedPageBreak/>
        <w:t>блока. Към тях са добавени 10% административен персонал</w:t>
      </w:r>
      <w:r w:rsidR="00037C98">
        <w:rPr>
          <w:rFonts w:ascii="Times New Roman" w:hAnsi="Times New Roman" w:cs="Times New Roman"/>
          <w:sz w:val="24"/>
          <w:szCs w:val="24"/>
        </w:rPr>
        <w:t>,</w:t>
      </w:r>
      <w:r w:rsidRPr="00950BDF">
        <w:rPr>
          <w:rFonts w:ascii="Times New Roman" w:hAnsi="Times New Roman" w:cs="Times New Roman"/>
          <w:sz w:val="24"/>
          <w:szCs w:val="24"/>
        </w:rPr>
        <w:t xml:space="preserve"> с цел да се гарантира безпроблемната експлоатация и управление на работата на електроцентралата.</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По отношение на втория елемент</w:t>
      </w:r>
      <w:r w:rsidR="00037C98">
        <w:rPr>
          <w:rFonts w:ascii="Times New Roman" w:hAnsi="Times New Roman" w:cs="Times New Roman"/>
          <w:sz w:val="24"/>
          <w:szCs w:val="24"/>
        </w:rPr>
        <w:t>,</w:t>
      </w:r>
      <w:r w:rsidRPr="00950BDF">
        <w:rPr>
          <w:rFonts w:ascii="Times New Roman" w:hAnsi="Times New Roman" w:cs="Times New Roman"/>
          <w:sz w:val="24"/>
          <w:szCs w:val="24"/>
        </w:rPr>
        <w:t xml:space="preserve"> средният размер на осигурителния доход е изчислен по данни от Националния осигурителен институт (НОИ) за АЕЦ „Козлодуй“ ЕАД</w:t>
      </w:r>
      <w:r w:rsidR="00037C98">
        <w:rPr>
          <w:rFonts w:ascii="Times New Roman" w:hAnsi="Times New Roman" w:cs="Times New Roman"/>
          <w:sz w:val="24"/>
          <w:szCs w:val="24"/>
        </w:rPr>
        <w:t>,</w:t>
      </w:r>
      <w:r w:rsidRPr="00950BDF">
        <w:rPr>
          <w:rFonts w:ascii="Times New Roman" w:hAnsi="Times New Roman" w:cs="Times New Roman"/>
          <w:sz w:val="24"/>
          <w:szCs w:val="24"/>
        </w:rPr>
        <w:t xml:space="preserve"> ескалиран с темпа на средногодишната инфлация</w:t>
      </w:r>
      <w:r w:rsidR="00037C98">
        <w:rPr>
          <w:rFonts w:ascii="Times New Roman" w:hAnsi="Times New Roman" w:cs="Times New Roman"/>
          <w:sz w:val="24"/>
          <w:szCs w:val="24"/>
        </w:rPr>
        <w:t>.</w:t>
      </w:r>
      <w:r w:rsidRPr="00950BDF">
        <w:rPr>
          <w:rStyle w:val="FootnoteReference"/>
          <w:rFonts w:ascii="Times New Roman" w:hAnsi="Times New Roman" w:cs="Times New Roman"/>
          <w:sz w:val="24"/>
          <w:szCs w:val="24"/>
        </w:rPr>
        <w:footnoteReference w:id="1"/>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Третият елемент е моделиран съгласно допусканията за размера на осигурителните вноски по фондове и дял на работодателя, представени в</w:t>
      </w:r>
      <w:r w:rsidR="002C6255">
        <w:rPr>
          <w:rFonts w:ascii="Times New Roman" w:hAnsi="Times New Roman" w:cs="Times New Roman"/>
          <w:sz w:val="24"/>
          <w:szCs w:val="24"/>
        </w:rPr>
        <w:t xml:space="preserve"> табл. </w:t>
      </w:r>
      <w:r w:rsidR="002C6255" w:rsidRPr="00E44C19">
        <w:rPr>
          <w:rFonts w:ascii="Times New Roman" w:hAnsi="Times New Roman" w:cs="Times New Roman"/>
          <w:sz w:val="24"/>
          <w:szCs w:val="24"/>
          <w:lang w:val="en-US"/>
        </w:rPr>
        <w:t>V.</w:t>
      </w:r>
      <w:r w:rsidR="001D138F">
        <w:rPr>
          <w:rFonts w:ascii="Times New Roman" w:hAnsi="Times New Roman" w:cs="Times New Roman"/>
          <w:sz w:val="24"/>
          <w:szCs w:val="24"/>
          <w:lang w:val="en-US"/>
        </w:rPr>
        <w:t>7</w:t>
      </w:r>
      <w:r w:rsidRPr="00950BDF">
        <w:rPr>
          <w:rFonts w:ascii="Times New Roman" w:hAnsi="Times New Roman" w:cs="Times New Roman"/>
          <w:sz w:val="24"/>
          <w:szCs w:val="24"/>
        </w:rPr>
        <w:t>.</w:t>
      </w:r>
    </w:p>
    <w:p w:rsidR="00950BDF" w:rsidRPr="001D138F" w:rsidRDefault="00985E78" w:rsidP="001D138F">
      <w:pPr>
        <w:pStyle w:val="Caption"/>
        <w:rPr>
          <w:rFonts w:ascii="Times New Roman" w:hAnsi="Times New Roman"/>
          <w:szCs w:val="24"/>
        </w:rPr>
      </w:pPr>
      <w:bookmarkStart w:id="109" w:name="_Toc491990977"/>
      <w:bookmarkStart w:id="110" w:name="_Toc491994412"/>
      <w:bookmarkStart w:id="111" w:name="_Toc493240903"/>
      <w:r w:rsidRPr="001D138F">
        <w:rPr>
          <w:rFonts w:hint="eastAsia"/>
        </w:rPr>
        <w:t>Таблица</w:t>
      </w:r>
      <w:r w:rsidR="00233DB8">
        <w:rPr>
          <w:rFonts w:asciiTheme="minorHAnsi" w:hAnsiTheme="minorHAnsi"/>
        </w:rPr>
        <w:t xml:space="preserve"> </w:t>
      </w:r>
      <w:r w:rsidRPr="001D138F">
        <w:t>V.</w:t>
      </w:r>
      <w:r w:rsidR="0097530B">
        <w:fldChar w:fldCharType="begin"/>
      </w:r>
      <w:r w:rsidR="00042F89">
        <w:instrText xml:space="preserve"> SEQ Таблица_V. \* ARABIC </w:instrText>
      </w:r>
      <w:r w:rsidR="0097530B">
        <w:fldChar w:fldCharType="separate"/>
      </w:r>
      <w:r w:rsidR="00F44EBF">
        <w:rPr>
          <w:noProof/>
        </w:rPr>
        <w:t>7</w:t>
      </w:r>
      <w:r w:rsidR="0097530B">
        <w:rPr>
          <w:noProof/>
        </w:rPr>
        <w:fldChar w:fldCharType="end"/>
      </w:r>
      <w:r w:rsidR="001D138F" w:rsidRPr="001D138F">
        <w:rPr>
          <w:rFonts w:asciiTheme="minorHAnsi" w:hAnsiTheme="minorHAnsi"/>
          <w:lang w:val="en-US"/>
        </w:rPr>
        <w:t xml:space="preserve">. </w:t>
      </w:r>
      <w:r w:rsidR="00950BDF" w:rsidRPr="001D138F">
        <w:rPr>
          <w:rFonts w:ascii="Times New Roman" w:hAnsi="Times New Roman"/>
          <w:szCs w:val="24"/>
        </w:rPr>
        <w:t>Допускания за размер на осигурителните вноски</w:t>
      </w:r>
      <w:bookmarkEnd w:id="109"/>
      <w:bookmarkEnd w:id="110"/>
      <w:bookmarkEnd w:id="11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3"/>
        <w:gridCol w:w="925"/>
      </w:tblGrid>
      <w:tr w:rsidR="00950BDF" w:rsidRPr="009E067D" w:rsidTr="00037C98">
        <w:trPr>
          <w:tblHeader/>
          <w:jc w:val="center"/>
        </w:trPr>
        <w:tc>
          <w:tcPr>
            <w:tcW w:w="0" w:type="auto"/>
            <w:tcBorders>
              <w:top w:val="single" w:sz="12" w:space="0" w:color="auto"/>
              <w:bottom w:val="single" w:sz="12" w:space="0" w:color="auto"/>
              <w:right w:val="single" w:sz="12" w:space="0" w:color="auto"/>
            </w:tcBorders>
            <w:shd w:val="clear" w:color="auto" w:fill="D9D9D9"/>
            <w:noWrap/>
            <w:vAlign w:val="bottom"/>
            <w:hideMark/>
          </w:tcPr>
          <w:p w:rsidR="00950BDF" w:rsidRPr="009E067D" w:rsidRDefault="00950BDF" w:rsidP="00E44C19">
            <w:pPr>
              <w:spacing w:after="0" w:line="240" w:lineRule="auto"/>
              <w:jc w:val="center"/>
              <w:rPr>
                <w:rFonts w:ascii="Times New Roman" w:eastAsia="Times New Roman" w:hAnsi="Times New Roman" w:cs="Times New Roman"/>
                <w:b/>
                <w:bCs/>
                <w:color w:val="000000"/>
                <w:sz w:val="20"/>
                <w:szCs w:val="20"/>
              </w:rPr>
            </w:pPr>
            <w:r w:rsidRPr="009E067D">
              <w:rPr>
                <w:rFonts w:ascii="Times New Roman" w:eastAsia="Times New Roman" w:hAnsi="Times New Roman" w:cs="Times New Roman"/>
                <w:b/>
                <w:bCs/>
                <w:color w:val="000000"/>
                <w:sz w:val="20"/>
                <w:szCs w:val="20"/>
              </w:rPr>
              <w:t>Осигурителни вноски</w:t>
            </w:r>
          </w:p>
        </w:tc>
        <w:tc>
          <w:tcPr>
            <w:tcW w:w="0" w:type="auto"/>
            <w:tcBorders>
              <w:left w:val="single" w:sz="12" w:space="0" w:color="auto"/>
              <w:bottom w:val="single" w:sz="12" w:space="0" w:color="auto"/>
            </w:tcBorders>
            <w:shd w:val="clear" w:color="auto" w:fill="D9D9D9"/>
            <w:noWrap/>
            <w:vAlign w:val="bottom"/>
            <w:hideMark/>
          </w:tcPr>
          <w:p w:rsidR="00950BDF" w:rsidRPr="009E067D" w:rsidRDefault="00950BDF" w:rsidP="00E44C19">
            <w:pPr>
              <w:spacing w:after="0" w:line="240" w:lineRule="auto"/>
              <w:jc w:val="center"/>
              <w:rPr>
                <w:rFonts w:ascii="Times New Roman" w:eastAsia="Times New Roman" w:hAnsi="Times New Roman" w:cs="Times New Roman"/>
                <w:b/>
                <w:bCs/>
                <w:color w:val="000000"/>
                <w:sz w:val="20"/>
                <w:szCs w:val="20"/>
              </w:rPr>
            </w:pPr>
            <w:r w:rsidRPr="009E067D">
              <w:rPr>
                <w:rFonts w:ascii="Times New Roman" w:eastAsia="Times New Roman" w:hAnsi="Times New Roman" w:cs="Times New Roman"/>
                <w:b/>
                <w:bCs/>
                <w:color w:val="000000"/>
                <w:sz w:val="20"/>
                <w:szCs w:val="20"/>
              </w:rPr>
              <w:t>Процент</w:t>
            </w:r>
          </w:p>
        </w:tc>
      </w:tr>
      <w:tr w:rsidR="00950BDF" w:rsidRPr="009E067D" w:rsidTr="00037C98">
        <w:trPr>
          <w:jc w:val="center"/>
        </w:trPr>
        <w:tc>
          <w:tcPr>
            <w:tcW w:w="0" w:type="auto"/>
            <w:tcBorders>
              <w:top w:val="single" w:sz="12" w:space="0" w:color="auto"/>
              <w:bottom w:val="single" w:sz="4" w:space="0" w:color="auto"/>
              <w:right w:val="single" w:sz="12" w:space="0" w:color="auto"/>
            </w:tcBorders>
            <w:shd w:val="clear" w:color="auto" w:fill="auto"/>
            <w:noWrap/>
            <w:vAlign w:val="bottom"/>
            <w:hideMark/>
          </w:tcPr>
          <w:p w:rsidR="00950BDF" w:rsidRPr="009E067D" w:rsidRDefault="00950BDF" w:rsidP="00E44C19">
            <w:pPr>
              <w:spacing w:after="0" w:line="240" w:lineRule="auto"/>
              <w:rPr>
                <w:rFonts w:ascii="Times New Roman" w:eastAsia="Times New Roman" w:hAnsi="Times New Roman" w:cs="Times New Roman"/>
                <w:color w:val="000000"/>
                <w:sz w:val="20"/>
                <w:szCs w:val="20"/>
              </w:rPr>
            </w:pPr>
            <w:r w:rsidRPr="009E067D">
              <w:rPr>
                <w:rFonts w:ascii="Times New Roman" w:eastAsia="Times New Roman" w:hAnsi="Times New Roman" w:cs="Times New Roman"/>
                <w:color w:val="000000"/>
                <w:sz w:val="20"/>
                <w:szCs w:val="20"/>
              </w:rPr>
              <w:t>Фонд "Пенсии"</w:t>
            </w:r>
          </w:p>
        </w:tc>
        <w:tc>
          <w:tcPr>
            <w:tcW w:w="0" w:type="auto"/>
            <w:tcBorders>
              <w:top w:val="single" w:sz="12" w:space="0" w:color="auto"/>
              <w:left w:val="single" w:sz="12" w:space="0" w:color="auto"/>
              <w:bottom w:val="single" w:sz="4" w:space="0" w:color="auto"/>
            </w:tcBorders>
            <w:shd w:val="clear" w:color="auto" w:fill="auto"/>
            <w:noWrap/>
            <w:vAlign w:val="bottom"/>
            <w:hideMark/>
          </w:tcPr>
          <w:p w:rsidR="00950BDF" w:rsidRPr="009E067D" w:rsidRDefault="009E067D" w:rsidP="00E44C19">
            <w:pPr>
              <w:spacing w:after="0" w:line="240" w:lineRule="auto"/>
              <w:jc w:val="right"/>
              <w:rPr>
                <w:rFonts w:ascii="Times New Roman" w:eastAsia="Times New Roman" w:hAnsi="Times New Roman" w:cs="Times New Roman"/>
                <w:color w:val="000000"/>
                <w:sz w:val="20"/>
                <w:szCs w:val="20"/>
                <w:lang w:val="en-US"/>
              </w:rPr>
            </w:pPr>
            <w:r w:rsidRPr="009E067D">
              <w:rPr>
                <w:rFonts w:ascii="Times New Roman" w:eastAsia="Times New Roman" w:hAnsi="Times New Roman" w:cs="Times New Roman"/>
                <w:color w:val="000000"/>
                <w:sz w:val="20"/>
                <w:szCs w:val="20"/>
              </w:rPr>
              <w:t>14</w:t>
            </w:r>
            <w:r w:rsidR="00233DB8">
              <w:rPr>
                <w:rFonts w:ascii="Times New Roman" w:eastAsia="Times New Roman" w:hAnsi="Times New Roman" w:cs="Times New Roman"/>
                <w:color w:val="000000"/>
                <w:sz w:val="20"/>
                <w:szCs w:val="20"/>
              </w:rPr>
              <w:t>.</w:t>
            </w:r>
            <w:r w:rsidRPr="009E067D">
              <w:rPr>
                <w:rFonts w:ascii="Times New Roman" w:eastAsia="Times New Roman" w:hAnsi="Times New Roman" w:cs="Times New Roman"/>
                <w:color w:val="000000"/>
                <w:sz w:val="20"/>
                <w:szCs w:val="20"/>
              </w:rPr>
              <w:t>80</w:t>
            </w:r>
          </w:p>
        </w:tc>
      </w:tr>
      <w:tr w:rsidR="00950BDF" w:rsidRPr="009E067D" w:rsidTr="00037C98">
        <w:trPr>
          <w:jc w:val="center"/>
        </w:trPr>
        <w:tc>
          <w:tcPr>
            <w:tcW w:w="0" w:type="auto"/>
            <w:tcBorders>
              <w:top w:val="single" w:sz="4" w:space="0" w:color="auto"/>
              <w:bottom w:val="single" w:sz="4" w:space="0" w:color="auto"/>
              <w:right w:val="single" w:sz="12" w:space="0" w:color="auto"/>
            </w:tcBorders>
            <w:shd w:val="clear" w:color="auto" w:fill="auto"/>
            <w:noWrap/>
            <w:vAlign w:val="bottom"/>
            <w:hideMark/>
          </w:tcPr>
          <w:p w:rsidR="00950BDF" w:rsidRPr="009E067D" w:rsidRDefault="00950BDF" w:rsidP="00E44C19">
            <w:pPr>
              <w:spacing w:after="0" w:line="240" w:lineRule="auto"/>
              <w:rPr>
                <w:rFonts w:ascii="Times New Roman" w:eastAsia="Times New Roman" w:hAnsi="Times New Roman" w:cs="Times New Roman"/>
                <w:color w:val="000000"/>
                <w:sz w:val="20"/>
                <w:szCs w:val="20"/>
              </w:rPr>
            </w:pPr>
            <w:r w:rsidRPr="009E067D">
              <w:rPr>
                <w:rFonts w:ascii="Times New Roman" w:eastAsia="Times New Roman" w:hAnsi="Times New Roman" w:cs="Times New Roman"/>
                <w:color w:val="000000"/>
                <w:sz w:val="20"/>
                <w:szCs w:val="20"/>
              </w:rPr>
              <w:t>Фонд "Общо заболяване и майчинство"</w:t>
            </w:r>
          </w:p>
        </w:tc>
        <w:tc>
          <w:tcPr>
            <w:tcW w:w="0" w:type="auto"/>
            <w:tcBorders>
              <w:top w:val="single" w:sz="4" w:space="0" w:color="auto"/>
              <w:left w:val="single" w:sz="12" w:space="0" w:color="auto"/>
            </w:tcBorders>
            <w:shd w:val="clear" w:color="auto" w:fill="auto"/>
            <w:noWrap/>
            <w:vAlign w:val="bottom"/>
            <w:hideMark/>
          </w:tcPr>
          <w:p w:rsidR="00950BDF" w:rsidRPr="009E067D" w:rsidRDefault="009E067D" w:rsidP="00E44C19">
            <w:pPr>
              <w:spacing w:after="0" w:line="240" w:lineRule="auto"/>
              <w:jc w:val="right"/>
              <w:rPr>
                <w:rFonts w:ascii="Times New Roman" w:eastAsia="Times New Roman" w:hAnsi="Times New Roman" w:cs="Times New Roman"/>
                <w:color w:val="000000"/>
                <w:sz w:val="20"/>
                <w:szCs w:val="20"/>
                <w:lang w:val="en-US"/>
              </w:rPr>
            </w:pPr>
            <w:r w:rsidRPr="009E067D">
              <w:rPr>
                <w:rFonts w:ascii="Times New Roman" w:eastAsia="Times New Roman" w:hAnsi="Times New Roman" w:cs="Times New Roman"/>
                <w:color w:val="000000"/>
                <w:sz w:val="20"/>
                <w:szCs w:val="20"/>
              </w:rPr>
              <w:t>3</w:t>
            </w:r>
            <w:r w:rsidR="00233DB8">
              <w:rPr>
                <w:rFonts w:ascii="Times New Roman" w:eastAsia="Times New Roman" w:hAnsi="Times New Roman" w:cs="Times New Roman"/>
                <w:color w:val="000000"/>
                <w:sz w:val="20"/>
                <w:szCs w:val="20"/>
              </w:rPr>
              <w:t>.</w:t>
            </w:r>
            <w:r w:rsidRPr="009E067D">
              <w:rPr>
                <w:rFonts w:ascii="Times New Roman" w:eastAsia="Times New Roman" w:hAnsi="Times New Roman" w:cs="Times New Roman"/>
                <w:color w:val="000000"/>
                <w:sz w:val="20"/>
                <w:szCs w:val="20"/>
              </w:rPr>
              <w:t>50</w:t>
            </w:r>
          </w:p>
        </w:tc>
      </w:tr>
      <w:tr w:rsidR="00950BDF" w:rsidRPr="009E067D" w:rsidTr="00037C98">
        <w:trPr>
          <w:jc w:val="center"/>
        </w:trPr>
        <w:tc>
          <w:tcPr>
            <w:tcW w:w="0" w:type="auto"/>
            <w:tcBorders>
              <w:top w:val="single" w:sz="4" w:space="0" w:color="auto"/>
              <w:bottom w:val="single" w:sz="4" w:space="0" w:color="auto"/>
              <w:right w:val="single" w:sz="12" w:space="0" w:color="auto"/>
            </w:tcBorders>
            <w:shd w:val="clear" w:color="auto" w:fill="auto"/>
            <w:noWrap/>
            <w:vAlign w:val="bottom"/>
            <w:hideMark/>
          </w:tcPr>
          <w:p w:rsidR="00950BDF" w:rsidRPr="009E067D" w:rsidRDefault="00950BDF" w:rsidP="00E44C19">
            <w:pPr>
              <w:spacing w:after="0" w:line="240" w:lineRule="auto"/>
              <w:rPr>
                <w:rFonts w:ascii="Times New Roman" w:eastAsia="Times New Roman" w:hAnsi="Times New Roman" w:cs="Times New Roman"/>
                <w:color w:val="000000"/>
                <w:sz w:val="20"/>
                <w:szCs w:val="20"/>
              </w:rPr>
            </w:pPr>
            <w:r w:rsidRPr="009E067D">
              <w:rPr>
                <w:rFonts w:ascii="Times New Roman" w:eastAsia="Times New Roman" w:hAnsi="Times New Roman" w:cs="Times New Roman"/>
                <w:color w:val="000000"/>
                <w:sz w:val="20"/>
                <w:szCs w:val="20"/>
              </w:rPr>
              <w:t>Фонд "Безработица"</w:t>
            </w:r>
          </w:p>
        </w:tc>
        <w:tc>
          <w:tcPr>
            <w:tcW w:w="0" w:type="auto"/>
            <w:tcBorders>
              <w:left w:val="single" w:sz="12" w:space="0" w:color="auto"/>
            </w:tcBorders>
            <w:shd w:val="clear" w:color="auto" w:fill="auto"/>
            <w:noWrap/>
            <w:vAlign w:val="bottom"/>
            <w:hideMark/>
          </w:tcPr>
          <w:p w:rsidR="00950BDF" w:rsidRPr="009E067D" w:rsidRDefault="009E067D" w:rsidP="00E44C19">
            <w:pPr>
              <w:spacing w:after="0" w:line="240" w:lineRule="auto"/>
              <w:jc w:val="right"/>
              <w:rPr>
                <w:rFonts w:ascii="Times New Roman" w:eastAsia="Times New Roman" w:hAnsi="Times New Roman" w:cs="Times New Roman"/>
                <w:color w:val="000000"/>
                <w:sz w:val="20"/>
                <w:szCs w:val="20"/>
                <w:lang w:val="en-US"/>
              </w:rPr>
            </w:pPr>
            <w:r w:rsidRPr="009E067D">
              <w:rPr>
                <w:rFonts w:ascii="Times New Roman" w:eastAsia="Times New Roman" w:hAnsi="Times New Roman" w:cs="Times New Roman"/>
                <w:color w:val="000000"/>
                <w:sz w:val="20"/>
                <w:szCs w:val="20"/>
              </w:rPr>
              <w:t>1</w:t>
            </w:r>
            <w:r w:rsidR="00233DB8">
              <w:rPr>
                <w:rFonts w:ascii="Times New Roman" w:eastAsia="Times New Roman" w:hAnsi="Times New Roman" w:cs="Times New Roman"/>
                <w:color w:val="000000"/>
                <w:sz w:val="20"/>
                <w:szCs w:val="20"/>
                <w:lang w:val="en-US"/>
              </w:rPr>
              <w:t>.</w:t>
            </w:r>
            <w:r w:rsidRPr="009E067D">
              <w:rPr>
                <w:rFonts w:ascii="Times New Roman" w:eastAsia="Times New Roman" w:hAnsi="Times New Roman" w:cs="Times New Roman"/>
                <w:color w:val="000000"/>
                <w:sz w:val="20"/>
                <w:szCs w:val="20"/>
                <w:lang w:val="en-US"/>
              </w:rPr>
              <w:t>00</w:t>
            </w:r>
          </w:p>
        </w:tc>
      </w:tr>
      <w:tr w:rsidR="00950BDF" w:rsidRPr="009E067D" w:rsidTr="00037C98">
        <w:trPr>
          <w:jc w:val="center"/>
        </w:trPr>
        <w:tc>
          <w:tcPr>
            <w:tcW w:w="0" w:type="auto"/>
            <w:tcBorders>
              <w:top w:val="single" w:sz="4" w:space="0" w:color="auto"/>
              <w:bottom w:val="single" w:sz="4" w:space="0" w:color="auto"/>
              <w:right w:val="single" w:sz="12" w:space="0" w:color="auto"/>
            </w:tcBorders>
            <w:shd w:val="clear" w:color="auto" w:fill="auto"/>
            <w:noWrap/>
            <w:vAlign w:val="bottom"/>
            <w:hideMark/>
          </w:tcPr>
          <w:p w:rsidR="00950BDF" w:rsidRPr="009E067D" w:rsidRDefault="00950BDF" w:rsidP="00E44C19">
            <w:pPr>
              <w:spacing w:after="0" w:line="240" w:lineRule="auto"/>
              <w:rPr>
                <w:rFonts w:ascii="Times New Roman" w:eastAsia="Times New Roman" w:hAnsi="Times New Roman" w:cs="Times New Roman"/>
                <w:color w:val="000000"/>
                <w:sz w:val="20"/>
                <w:szCs w:val="20"/>
              </w:rPr>
            </w:pPr>
            <w:r w:rsidRPr="009E067D">
              <w:rPr>
                <w:rFonts w:ascii="Times New Roman" w:eastAsia="Times New Roman" w:hAnsi="Times New Roman" w:cs="Times New Roman"/>
                <w:color w:val="000000"/>
                <w:sz w:val="20"/>
                <w:szCs w:val="20"/>
              </w:rPr>
              <w:t>Здравно осигуряване</w:t>
            </w:r>
          </w:p>
        </w:tc>
        <w:tc>
          <w:tcPr>
            <w:tcW w:w="0" w:type="auto"/>
            <w:tcBorders>
              <w:left w:val="single" w:sz="12" w:space="0" w:color="auto"/>
            </w:tcBorders>
            <w:shd w:val="clear" w:color="auto" w:fill="auto"/>
            <w:noWrap/>
            <w:vAlign w:val="bottom"/>
            <w:hideMark/>
          </w:tcPr>
          <w:p w:rsidR="00950BDF" w:rsidRPr="009E067D" w:rsidRDefault="009E067D" w:rsidP="00E44C19">
            <w:pPr>
              <w:spacing w:after="0" w:line="240" w:lineRule="auto"/>
              <w:jc w:val="right"/>
              <w:rPr>
                <w:rFonts w:ascii="Times New Roman" w:eastAsia="Times New Roman" w:hAnsi="Times New Roman" w:cs="Times New Roman"/>
                <w:color w:val="000000"/>
                <w:sz w:val="20"/>
                <w:szCs w:val="20"/>
                <w:lang w:val="en-US"/>
              </w:rPr>
            </w:pPr>
            <w:r w:rsidRPr="009E067D">
              <w:rPr>
                <w:rFonts w:ascii="Times New Roman" w:eastAsia="Times New Roman" w:hAnsi="Times New Roman" w:cs="Times New Roman"/>
                <w:color w:val="000000"/>
                <w:sz w:val="20"/>
                <w:szCs w:val="20"/>
              </w:rPr>
              <w:t>8</w:t>
            </w:r>
            <w:r w:rsidR="00233DB8">
              <w:rPr>
                <w:rFonts w:ascii="Times New Roman" w:eastAsia="Times New Roman" w:hAnsi="Times New Roman" w:cs="Times New Roman"/>
                <w:color w:val="000000"/>
                <w:sz w:val="20"/>
                <w:szCs w:val="20"/>
                <w:lang w:val="en-US"/>
              </w:rPr>
              <w:t>.</w:t>
            </w:r>
            <w:r w:rsidRPr="009E067D">
              <w:rPr>
                <w:rFonts w:ascii="Times New Roman" w:eastAsia="Times New Roman" w:hAnsi="Times New Roman" w:cs="Times New Roman"/>
                <w:color w:val="000000"/>
                <w:sz w:val="20"/>
                <w:szCs w:val="20"/>
                <w:lang w:val="en-US"/>
              </w:rPr>
              <w:t>00</w:t>
            </w:r>
          </w:p>
        </w:tc>
      </w:tr>
      <w:tr w:rsidR="00950BDF" w:rsidRPr="009E067D" w:rsidTr="00037C98">
        <w:trPr>
          <w:jc w:val="center"/>
        </w:trPr>
        <w:tc>
          <w:tcPr>
            <w:tcW w:w="0" w:type="auto"/>
            <w:tcBorders>
              <w:top w:val="single" w:sz="4" w:space="0" w:color="auto"/>
              <w:bottom w:val="single" w:sz="4" w:space="0" w:color="auto"/>
              <w:right w:val="single" w:sz="12" w:space="0" w:color="auto"/>
            </w:tcBorders>
            <w:shd w:val="clear" w:color="auto" w:fill="auto"/>
            <w:noWrap/>
            <w:vAlign w:val="bottom"/>
            <w:hideMark/>
          </w:tcPr>
          <w:p w:rsidR="00950BDF" w:rsidRPr="009E067D" w:rsidRDefault="00950BDF" w:rsidP="00E44C19">
            <w:pPr>
              <w:spacing w:after="0" w:line="240" w:lineRule="auto"/>
              <w:rPr>
                <w:rFonts w:ascii="Times New Roman" w:eastAsia="Times New Roman" w:hAnsi="Times New Roman" w:cs="Times New Roman"/>
                <w:b/>
                <w:bCs/>
                <w:color w:val="000000"/>
                <w:sz w:val="20"/>
                <w:szCs w:val="20"/>
              </w:rPr>
            </w:pPr>
            <w:r w:rsidRPr="009E067D">
              <w:rPr>
                <w:rFonts w:ascii="Times New Roman" w:eastAsia="Times New Roman" w:hAnsi="Times New Roman" w:cs="Times New Roman"/>
                <w:b/>
                <w:bCs/>
                <w:color w:val="000000"/>
                <w:sz w:val="20"/>
                <w:szCs w:val="20"/>
              </w:rPr>
              <w:t xml:space="preserve">Задължително социално осигуряване </w:t>
            </w:r>
          </w:p>
        </w:tc>
        <w:tc>
          <w:tcPr>
            <w:tcW w:w="0" w:type="auto"/>
            <w:tcBorders>
              <w:left w:val="single" w:sz="12" w:space="0" w:color="auto"/>
            </w:tcBorders>
            <w:shd w:val="clear" w:color="auto" w:fill="auto"/>
            <w:noWrap/>
            <w:vAlign w:val="bottom"/>
            <w:hideMark/>
          </w:tcPr>
          <w:p w:rsidR="00950BDF" w:rsidRPr="009E067D" w:rsidRDefault="009E067D" w:rsidP="00E44C19">
            <w:pPr>
              <w:spacing w:after="0" w:line="240" w:lineRule="auto"/>
              <w:jc w:val="right"/>
              <w:rPr>
                <w:rFonts w:ascii="Times New Roman" w:eastAsia="Times New Roman" w:hAnsi="Times New Roman" w:cs="Times New Roman"/>
                <w:b/>
                <w:bCs/>
                <w:color w:val="000000"/>
                <w:sz w:val="20"/>
                <w:szCs w:val="20"/>
                <w:lang w:val="en-US"/>
              </w:rPr>
            </w:pPr>
            <w:r w:rsidRPr="009E067D">
              <w:rPr>
                <w:rFonts w:ascii="Times New Roman" w:eastAsia="Times New Roman" w:hAnsi="Times New Roman" w:cs="Times New Roman"/>
                <w:b/>
                <w:bCs/>
                <w:color w:val="000000"/>
                <w:sz w:val="20"/>
                <w:szCs w:val="20"/>
              </w:rPr>
              <w:t>27</w:t>
            </w:r>
            <w:r w:rsidR="00233DB8">
              <w:rPr>
                <w:rFonts w:ascii="Times New Roman" w:eastAsia="Times New Roman" w:hAnsi="Times New Roman" w:cs="Times New Roman"/>
                <w:b/>
                <w:bCs/>
                <w:color w:val="000000"/>
                <w:sz w:val="20"/>
                <w:szCs w:val="20"/>
              </w:rPr>
              <w:t>.</w:t>
            </w:r>
            <w:r w:rsidRPr="009E067D">
              <w:rPr>
                <w:rFonts w:ascii="Times New Roman" w:eastAsia="Times New Roman" w:hAnsi="Times New Roman" w:cs="Times New Roman"/>
                <w:b/>
                <w:bCs/>
                <w:color w:val="000000"/>
                <w:sz w:val="20"/>
                <w:szCs w:val="20"/>
              </w:rPr>
              <w:t>30</w:t>
            </w:r>
          </w:p>
        </w:tc>
      </w:tr>
      <w:tr w:rsidR="001D138F" w:rsidRPr="009E067D" w:rsidTr="00037C98">
        <w:trPr>
          <w:jc w:val="center"/>
        </w:trPr>
        <w:tc>
          <w:tcPr>
            <w:tcW w:w="0" w:type="auto"/>
            <w:tcBorders>
              <w:top w:val="single" w:sz="4" w:space="0" w:color="auto"/>
              <w:bottom w:val="single" w:sz="4" w:space="0" w:color="auto"/>
              <w:right w:val="single" w:sz="12" w:space="0" w:color="auto"/>
            </w:tcBorders>
            <w:shd w:val="clear" w:color="auto" w:fill="auto"/>
            <w:noWrap/>
            <w:vAlign w:val="bottom"/>
            <w:hideMark/>
          </w:tcPr>
          <w:p w:rsidR="001D138F" w:rsidRPr="009E067D" w:rsidRDefault="001D138F" w:rsidP="00E44C19">
            <w:pPr>
              <w:spacing w:after="0" w:line="240" w:lineRule="auto"/>
              <w:rPr>
                <w:rFonts w:ascii="Times New Roman" w:eastAsia="Times New Roman" w:hAnsi="Times New Roman" w:cs="Times New Roman"/>
                <w:color w:val="000000"/>
                <w:sz w:val="20"/>
                <w:szCs w:val="20"/>
              </w:rPr>
            </w:pPr>
            <w:r w:rsidRPr="009E067D">
              <w:rPr>
                <w:rFonts w:ascii="Times New Roman" w:eastAsia="Times New Roman" w:hAnsi="Times New Roman" w:cs="Times New Roman"/>
                <w:color w:val="000000"/>
                <w:sz w:val="20"/>
                <w:szCs w:val="20"/>
              </w:rPr>
              <w:t>Дял за работодателя</w:t>
            </w:r>
            <w:r>
              <w:rPr>
                <w:rFonts w:ascii="Times New Roman" w:eastAsia="Times New Roman" w:hAnsi="Times New Roman" w:cs="Times New Roman"/>
                <w:color w:val="000000"/>
                <w:sz w:val="20"/>
                <w:szCs w:val="20"/>
              </w:rPr>
              <w:t xml:space="preserve"> - трета категория труд</w:t>
            </w:r>
          </w:p>
        </w:tc>
        <w:tc>
          <w:tcPr>
            <w:tcW w:w="0" w:type="auto"/>
            <w:tcBorders>
              <w:left w:val="single" w:sz="12" w:space="0" w:color="auto"/>
            </w:tcBorders>
            <w:shd w:val="clear" w:color="auto" w:fill="auto"/>
            <w:noWrap/>
            <w:vAlign w:val="bottom"/>
            <w:hideMark/>
          </w:tcPr>
          <w:p w:rsidR="001D138F" w:rsidRPr="009E067D" w:rsidRDefault="001D138F" w:rsidP="00E44C19">
            <w:pPr>
              <w:spacing w:after="0" w:line="240" w:lineRule="auto"/>
              <w:jc w:val="right"/>
              <w:rPr>
                <w:rFonts w:ascii="Times New Roman" w:eastAsia="Times New Roman" w:hAnsi="Times New Roman" w:cs="Times New Roman"/>
                <w:color w:val="000000"/>
                <w:sz w:val="20"/>
                <w:szCs w:val="20"/>
                <w:lang w:val="en-US"/>
              </w:rPr>
            </w:pPr>
            <w:r w:rsidRPr="009E067D">
              <w:rPr>
                <w:rFonts w:ascii="Times New Roman" w:eastAsia="Times New Roman" w:hAnsi="Times New Roman" w:cs="Times New Roman"/>
                <w:color w:val="000000"/>
                <w:sz w:val="20"/>
                <w:szCs w:val="20"/>
              </w:rPr>
              <w:t>16</w:t>
            </w:r>
            <w:r w:rsidR="00233DB8">
              <w:rPr>
                <w:rFonts w:ascii="Times New Roman" w:eastAsia="Times New Roman" w:hAnsi="Times New Roman" w:cs="Times New Roman"/>
                <w:color w:val="000000"/>
                <w:sz w:val="20"/>
                <w:szCs w:val="20"/>
              </w:rPr>
              <w:t>.</w:t>
            </w:r>
            <w:r w:rsidRPr="009E067D">
              <w:rPr>
                <w:rFonts w:ascii="Times New Roman" w:eastAsia="Times New Roman" w:hAnsi="Times New Roman" w:cs="Times New Roman"/>
                <w:color w:val="000000"/>
                <w:sz w:val="20"/>
                <w:szCs w:val="20"/>
              </w:rPr>
              <w:t>38</w:t>
            </w:r>
          </w:p>
        </w:tc>
      </w:tr>
      <w:tr w:rsidR="001D138F" w:rsidRPr="009E067D" w:rsidTr="00037C98">
        <w:trPr>
          <w:jc w:val="center"/>
        </w:trPr>
        <w:tc>
          <w:tcPr>
            <w:tcW w:w="0" w:type="auto"/>
            <w:tcBorders>
              <w:top w:val="single" w:sz="4" w:space="0" w:color="auto"/>
              <w:bottom w:val="single" w:sz="4" w:space="0" w:color="auto"/>
              <w:right w:val="single" w:sz="12" w:space="0" w:color="auto"/>
            </w:tcBorders>
            <w:shd w:val="clear" w:color="auto" w:fill="auto"/>
            <w:noWrap/>
            <w:vAlign w:val="bottom"/>
          </w:tcPr>
          <w:p w:rsidR="001D138F" w:rsidRPr="009E067D" w:rsidRDefault="001D138F" w:rsidP="00E44C19">
            <w:pPr>
              <w:spacing w:after="0" w:line="240" w:lineRule="auto"/>
              <w:rPr>
                <w:rFonts w:ascii="Times New Roman" w:eastAsia="Times New Roman" w:hAnsi="Times New Roman" w:cs="Times New Roman"/>
                <w:color w:val="000000"/>
                <w:sz w:val="20"/>
                <w:szCs w:val="20"/>
              </w:rPr>
            </w:pPr>
            <w:r w:rsidRPr="009E067D">
              <w:rPr>
                <w:rFonts w:ascii="Times New Roman" w:eastAsia="Times New Roman" w:hAnsi="Times New Roman" w:cs="Times New Roman"/>
                <w:color w:val="000000"/>
                <w:sz w:val="20"/>
                <w:szCs w:val="20"/>
              </w:rPr>
              <w:t>Дял за работодателя</w:t>
            </w:r>
            <w:r>
              <w:rPr>
                <w:rFonts w:ascii="Times New Roman" w:eastAsia="Times New Roman" w:hAnsi="Times New Roman" w:cs="Times New Roman"/>
                <w:color w:val="000000"/>
                <w:sz w:val="20"/>
                <w:szCs w:val="20"/>
              </w:rPr>
              <w:t xml:space="preserve"> - първа и втора категория труд</w:t>
            </w:r>
          </w:p>
        </w:tc>
        <w:tc>
          <w:tcPr>
            <w:tcW w:w="0" w:type="auto"/>
            <w:tcBorders>
              <w:left w:val="single" w:sz="12" w:space="0" w:color="auto"/>
            </w:tcBorders>
            <w:shd w:val="clear" w:color="auto" w:fill="auto"/>
            <w:noWrap/>
            <w:vAlign w:val="bottom"/>
          </w:tcPr>
          <w:p w:rsidR="001D138F" w:rsidRPr="009E067D" w:rsidRDefault="001D138F" w:rsidP="00E44C1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r w:rsidR="00233DB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38</w:t>
            </w:r>
          </w:p>
        </w:tc>
      </w:tr>
      <w:tr w:rsidR="001D138F" w:rsidRPr="009E067D" w:rsidTr="00037C98">
        <w:trPr>
          <w:jc w:val="center"/>
        </w:trPr>
        <w:tc>
          <w:tcPr>
            <w:tcW w:w="0" w:type="auto"/>
            <w:tcBorders>
              <w:top w:val="single" w:sz="4" w:space="0" w:color="auto"/>
              <w:bottom w:val="single" w:sz="4" w:space="0" w:color="auto"/>
              <w:right w:val="single" w:sz="12" w:space="0" w:color="auto"/>
            </w:tcBorders>
            <w:shd w:val="clear" w:color="auto" w:fill="auto"/>
            <w:noWrap/>
            <w:vAlign w:val="bottom"/>
            <w:hideMark/>
          </w:tcPr>
          <w:p w:rsidR="001D138F" w:rsidRPr="009E067D" w:rsidRDefault="001D138F" w:rsidP="00E44C19">
            <w:pPr>
              <w:spacing w:after="0" w:line="240" w:lineRule="auto"/>
              <w:rPr>
                <w:rFonts w:ascii="Times New Roman" w:eastAsia="Times New Roman" w:hAnsi="Times New Roman" w:cs="Times New Roman"/>
                <w:color w:val="000000"/>
                <w:sz w:val="20"/>
                <w:szCs w:val="20"/>
              </w:rPr>
            </w:pPr>
            <w:r w:rsidRPr="009E067D">
              <w:rPr>
                <w:rFonts w:ascii="Times New Roman" w:eastAsia="Times New Roman" w:hAnsi="Times New Roman" w:cs="Times New Roman"/>
                <w:color w:val="000000"/>
                <w:sz w:val="20"/>
                <w:szCs w:val="20"/>
              </w:rPr>
              <w:t>Дял за осигурения</w:t>
            </w:r>
          </w:p>
        </w:tc>
        <w:tc>
          <w:tcPr>
            <w:tcW w:w="0" w:type="auto"/>
            <w:tcBorders>
              <w:left w:val="single" w:sz="12" w:space="0" w:color="auto"/>
            </w:tcBorders>
            <w:shd w:val="clear" w:color="auto" w:fill="auto"/>
            <w:noWrap/>
            <w:vAlign w:val="bottom"/>
            <w:hideMark/>
          </w:tcPr>
          <w:p w:rsidR="001D138F" w:rsidRPr="009E067D" w:rsidRDefault="001D138F" w:rsidP="00E44C19">
            <w:pPr>
              <w:spacing w:after="0" w:line="240" w:lineRule="auto"/>
              <w:jc w:val="right"/>
              <w:rPr>
                <w:rFonts w:ascii="Times New Roman" w:eastAsia="Times New Roman" w:hAnsi="Times New Roman" w:cs="Times New Roman"/>
                <w:color w:val="000000"/>
                <w:sz w:val="20"/>
                <w:szCs w:val="20"/>
                <w:lang w:val="en-US"/>
              </w:rPr>
            </w:pPr>
            <w:r w:rsidRPr="009E067D">
              <w:rPr>
                <w:rFonts w:ascii="Times New Roman" w:eastAsia="Times New Roman" w:hAnsi="Times New Roman" w:cs="Times New Roman"/>
                <w:color w:val="000000"/>
                <w:sz w:val="20"/>
                <w:szCs w:val="20"/>
              </w:rPr>
              <w:t>10</w:t>
            </w:r>
            <w:r w:rsidR="00233DB8">
              <w:rPr>
                <w:rFonts w:ascii="Times New Roman" w:eastAsia="Times New Roman" w:hAnsi="Times New Roman" w:cs="Times New Roman"/>
                <w:color w:val="000000"/>
                <w:sz w:val="20"/>
                <w:szCs w:val="20"/>
              </w:rPr>
              <w:t>.</w:t>
            </w:r>
            <w:r w:rsidRPr="009E067D">
              <w:rPr>
                <w:rFonts w:ascii="Times New Roman" w:eastAsia="Times New Roman" w:hAnsi="Times New Roman" w:cs="Times New Roman"/>
                <w:color w:val="000000"/>
                <w:sz w:val="20"/>
                <w:szCs w:val="20"/>
              </w:rPr>
              <w:t>92</w:t>
            </w:r>
          </w:p>
        </w:tc>
      </w:tr>
      <w:tr w:rsidR="00950BDF" w:rsidRPr="009E067D" w:rsidTr="00037C98">
        <w:trPr>
          <w:jc w:val="center"/>
        </w:trPr>
        <w:tc>
          <w:tcPr>
            <w:tcW w:w="0" w:type="auto"/>
            <w:tcBorders>
              <w:top w:val="single" w:sz="4" w:space="0" w:color="auto"/>
              <w:bottom w:val="single" w:sz="4" w:space="0" w:color="auto"/>
              <w:right w:val="single" w:sz="12" w:space="0" w:color="auto"/>
            </w:tcBorders>
            <w:shd w:val="clear" w:color="auto" w:fill="auto"/>
            <w:noWrap/>
            <w:vAlign w:val="bottom"/>
            <w:hideMark/>
          </w:tcPr>
          <w:p w:rsidR="00950BDF" w:rsidRPr="009E067D" w:rsidRDefault="00950BDF" w:rsidP="00E44C19">
            <w:pPr>
              <w:spacing w:after="0" w:line="240" w:lineRule="auto"/>
              <w:rPr>
                <w:rFonts w:ascii="Times New Roman" w:eastAsia="Times New Roman" w:hAnsi="Times New Roman" w:cs="Times New Roman"/>
                <w:b/>
                <w:bCs/>
                <w:color w:val="000000"/>
                <w:sz w:val="20"/>
                <w:szCs w:val="20"/>
              </w:rPr>
            </w:pPr>
            <w:r w:rsidRPr="009E067D">
              <w:rPr>
                <w:rFonts w:ascii="Times New Roman" w:eastAsia="Times New Roman" w:hAnsi="Times New Roman" w:cs="Times New Roman"/>
                <w:b/>
                <w:bCs/>
                <w:color w:val="000000"/>
                <w:sz w:val="20"/>
                <w:szCs w:val="20"/>
              </w:rPr>
              <w:t>ДЗПО-универсален фонд</w:t>
            </w:r>
          </w:p>
        </w:tc>
        <w:tc>
          <w:tcPr>
            <w:tcW w:w="0" w:type="auto"/>
            <w:tcBorders>
              <w:left w:val="single" w:sz="12" w:space="0" w:color="auto"/>
            </w:tcBorders>
            <w:shd w:val="clear" w:color="auto" w:fill="auto"/>
            <w:noWrap/>
            <w:vAlign w:val="bottom"/>
            <w:hideMark/>
          </w:tcPr>
          <w:p w:rsidR="00950BDF" w:rsidRPr="009E067D" w:rsidRDefault="009E067D" w:rsidP="00E44C19">
            <w:pPr>
              <w:spacing w:after="0" w:line="240" w:lineRule="auto"/>
              <w:jc w:val="right"/>
              <w:rPr>
                <w:rFonts w:ascii="Times New Roman" w:eastAsia="Times New Roman" w:hAnsi="Times New Roman" w:cs="Times New Roman"/>
                <w:b/>
                <w:bCs/>
                <w:color w:val="000000"/>
                <w:sz w:val="20"/>
                <w:szCs w:val="20"/>
                <w:lang w:val="en-US"/>
              </w:rPr>
            </w:pPr>
            <w:r w:rsidRPr="009E067D">
              <w:rPr>
                <w:rFonts w:ascii="Times New Roman" w:eastAsia="Times New Roman" w:hAnsi="Times New Roman" w:cs="Times New Roman"/>
                <w:b/>
                <w:bCs/>
                <w:color w:val="000000"/>
                <w:sz w:val="20"/>
                <w:szCs w:val="20"/>
              </w:rPr>
              <w:t>5</w:t>
            </w:r>
            <w:r w:rsidR="00233DB8">
              <w:rPr>
                <w:rFonts w:ascii="Times New Roman" w:eastAsia="Times New Roman" w:hAnsi="Times New Roman" w:cs="Times New Roman"/>
                <w:b/>
                <w:bCs/>
                <w:color w:val="000000"/>
                <w:sz w:val="20"/>
                <w:szCs w:val="20"/>
              </w:rPr>
              <w:t>.</w:t>
            </w:r>
            <w:r w:rsidRPr="009E067D">
              <w:rPr>
                <w:rFonts w:ascii="Times New Roman" w:eastAsia="Times New Roman" w:hAnsi="Times New Roman" w:cs="Times New Roman"/>
                <w:b/>
                <w:bCs/>
                <w:color w:val="000000"/>
                <w:sz w:val="20"/>
                <w:szCs w:val="20"/>
              </w:rPr>
              <w:t>00</w:t>
            </w:r>
          </w:p>
        </w:tc>
      </w:tr>
      <w:tr w:rsidR="00950BDF" w:rsidRPr="009E067D" w:rsidTr="00037C98">
        <w:trPr>
          <w:jc w:val="center"/>
        </w:trPr>
        <w:tc>
          <w:tcPr>
            <w:tcW w:w="0" w:type="auto"/>
            <w:tcBorders>
              <w:top w:val="single" w:sz="4" w:space="0" w:color="auto"/>
              <w:bottom w:val="single" w:sz="4" w:space="0" w:color="auto"/>
              <w:right w:val="single" w:sz="12" w:space="0" w:color="auto"/>
            </w:tcBorders>
            <w:shd w:val="clear" w:color="auto" w:fill="auto"/>
            <w:noWrap/>
            <w:vAlign w:val="bottom"/>
            <w:hideMark/>
          </w:tcPr>
          <w:p w:rsidR="00950BDF" w:rsidRPr="009E067D" w:rsidRDefault="00950BDF" w:rsidP="00E44C19">
            <w:pPr>
              <w:spacing w:after="0" w:line="240" w:lineRule="auto"/>
              <w:rPr>
                <w:rFonts w:ascii="Times New Roman" w:eastAsia="Times New Roman" w:hAnsi="Times New Roman" w:cs="Times New Roman"/>
                <w:color w:val="000000"/>
                <w:sz w:val="20"/>
                <w:szCs w:val="20"/>
              </w:rPr>
            </w:pPr>
            <w:r w:rsidRPr="009E067D">
              <w:rPr>
                <w:rFonts w:ascii="Times New Roman" w:eastAsia="Times New Roman" w:hAnsi="Times New Roman" w:cs="Times New Roman"/>
                <w:color w:val="000000"/>
                <w:sz w:val="20"/>
                <w:szCs w:val="20"/>
              </w:rPr>
              <w:t>Дял за работодателя</w:t>
            </w:r>
          </w:p>
        </w:tc>
        <w:tc>
          <w:tcPr>
            <w:tcW w:w="0" w:type="auto"/>
            <w:tcBorders>
              <w:left w:val="single" w:sz="12" w:space="0" w:color="auto"/>
            </w:tcBorders>
            <w:shd w:val="clear" w:color="auto" w:fill="auto"/>
            <w:noWrap/>
            <w:vAlign w:val="bottom"/>
            <w:hideMark/>
          </w:tcPr>
          <w:p w:rsidR="00950BDF" w:rsidRPr="009E067D" w:rsidRDefault="009E067D" w:rsidP="00E44C19">
            <w:pPr>
              <w:spacing w:after="0" w:line="240" w:lineRule="auto"/>
              <w:jc w:val="right"/>
              <w:rPr>
                <w:rFonts w:ascii="Times New Roman" w:eastAsia="Times New Roman" w:hAnsi="Times New Roman" w:cs="Times New Roman"/>
                <w:color w:val="000000"/>
                <w:sz w:val="20"/>
                <w:szCs w:val="20"/>
                <w:lang w:val="en-US"/>
              </w:rPr>
            </w:pPr>
            <w:r w:rsidRPr="009E067D">
              <w:rPr>
                <w:rFonts w:ascii="Times New Roman" w:eastAsia="Times New Roman" w:hAnsi="Times New Roman" w:cs="Times New Roman"/>
                <w:color w:val="000000"/>
                <w:sz w:val="20"/>
                <w:szCs w:val="20"/>
              </w:rPr>
              <w:t>2</w:t>
            </w:r>
            <w:r w:rsidR="00233DB8">
              <w:rPr>
                <w:rFonts w:ascii="Times New Roman" w:eastAsia="Times New Roman" w:hAnsi="Times New Roman" w:cs="Times New Roman"/>
                <w:color w:val="000000"/>
                <w:sz w:val="20"/>
                <w:szCs w:val="20"/>
              </w:rPr>
              <w:t>.</w:t>
            </w:r>
            <w:r w:rsidRPr="009E067D">
              <w:rPr>
                <w:rFonts w:ascii="Times New Roman" w:eastAsia="Times New Roman" w:hAnsi="Times New Roman" w:cs="Times New Roman"/>
                <w:color w:val="000000"/>
                <w:sz w:val="20"/>
                <w:szCs w:val="20"/>
              </w:rPr>
              <w:t>80</w:t>
            </w:r>
          </w:p>
        </w:tc>
      </w:tr>
      <w:tr w:rsidR="00950BDF" w:rsidRPr="009E067D" w:rsidTr="00037C98">
        <w:trPr>
          <w:jc w:val="center"/>
        </w:trPr>
        <w:tc>
          <w:tcPr>
            <w:tcW w:w="0" w:type="auto"/>
            <w:tcBorders>
              <w:top w:val="single" w:sz="4" w:space="0" w:color="auto"/>
              <w:bottom w:val="single" w:sz="4" w:space="0" w:color="auto"/>
              <w:right w:val="single" w:sz="12" w:space="0" w:color="auto"/>
            </w:tcBorders>
            <w:shd w:val="clear" w:color="auto" w:fill="auto"/>
            <w:noWrap/>
            <w:vAlign w:val="bottom"/>
            <w:hideMark/>
          </w:tcPr>
          <w:p w:rsidR="00950BDF" w:rsidRPr="009E067D" w:rsidRDefault="00950BDF" w:rsidP="00E44C19">
            <w:pPr>
              <w:spacing w:after="0" w:line="240" w:lineRule="auto"/>
              <w:rPr>
                <w:rFonts w:ascii="Times New Roman" w:eastAsia="Times New Roman" w:hAnsi="Times New Roman" w:cs="Times New Roman"/>
                <w:color w:val="000000"/>
                <w:sz w:val="20"/>
                <w:szCs w:val="20"/>
              </w:rPr>
            </w:pPr>
            <w:r w:rsidRPr="009E067D">
              <w:rPr>
                <w:rFonts w:ascii="Times New Roman" w:eastAsia="Times New Roman" w:hAnsi="Times New Roman" w:cs="Times New Roman"/>
                <w:color w:val="000000"/>
                <w:sz w:val="20"/>
                <w:szCs w:val="20"/>
              </w:rPr>
              <w:t>Дял за осигурения</w:t>
            </w:r>
          </w:p>
        </w:tc>
        <w:tc>
          <w:tcPr>
            <w:tcW w:w="0" w:type="auto"/>
            <w:tcBorders>
              <w:left w:val="single" w:sz="12" w:space="0" w:color="auto"/>
            </w:tcBorders>
            <w:shd w:val="clear" w:color="auto" w:fill="auto"/>
            <w:noWrap/>
            <w:vAlign w:val="bottom"/>
            <w:hideMark/>
          </w:tcPr>
          <w:p w:rsidR="00950BDF" w:rsidRPr="009E067D" w:rsidRDefault="009E067D" w:rsidP="00E44C19">
            <w:pPr>
              <w:spacing w:after="0" w:line="240" w:lineRule="auto"/>
              <w:jc w:val="right"/>
              <w:rPr>
                <w:rFonts w:ascii="Times New Roman" w:eastAsia="Times New Roman" w:hAnsi="Times New Roman" w:cs="Times New Roman"/>
                <w:color w:val="000000"/>
                <w:sz w:val="20"/>
                <w:szCs w:val="20"/>
                <w:lang w:val="en-US"/>
              </w:rPr>
            </w:pPr>
            <w:r w:rsidRPr="009E067D">
              <w:rPr>
                <w:rFonts w:ascii="Times New Roman" w:eastAsia="Times New Roman" w:hAnsi="Times New Roman" w:cs="Times New Roman"/>
                <w:color w:val="000000"/>
                <w:sz w:val="20"/>
                <w:szCs w:val="20"/>
              </w:rPr>
              <w:t>2</w:t>
            </w:r>
            <w:r w:rsidR="00233DB8">
              <w:rPr>
                <w:rFonts w:ascii="Times New Roman" w:eastAsia="Times New Roman" w:hAnsi="Times New Roman" w:cs="Times New Roman"/>
                <w:color w:val="000000"/>
                <w:sz w:val="20"/>
                <w:szCs w:val="20"/>
              </w:rPr>
              <w:t>.</w:t>
            </w:r>
            <w:r w:rsidRPr="009E067D">
              <w:rPr>
                <w:rFonts w:ascii="Times New Roman" w:eastAsia="Times New Roman" w:hAnsi="Times New Roman" w:cs="Times New Roman"/>
                <w:color w:val="000000"/>
                <w:sz w:val="20"/>
                <w:szCs w:val="20"/>
              </w:rPr>
              <w:t>20</w:t>
            </w:r>
          </w:p>
        </w:tc>
      </w:tr>
      <w:tr w:rsidR="00950BDF" w:rsidRPr="009E067D" w:rsidTr="00037C98">
        <w:trPr>
          <w:jc w:val="center"/>
        </w:trPr>
        <w:tc>
          <w:tcPr>
            <w:tcW w:w="0" w:type="auto"/>
            <w:tcBorders>
              <w:top w:val="single" w:sz="4" w:space="0" w:color="auto"/>
              <w:bottom w:val="single" w:sz="4" w:space="0" w:color="auto"/>
              <w:right w:val="single" w:sz="12" w:space="0" w:color="auto"/>
            </w:tcBorders>
            <w:shd w:val="clear" w:color="auto" w:fill="auto"/>
            <w:noWrap/>
            <w:vAlign w:val="bottom"/>
            <w:hideMark/>
          </w:tcPr>
          <w:p w:rsidR="00950BDF" w:rsidRPr="009E067D" w:rsidRDefault="00950BDF" w:rsidP="00E44C19">
            <w:pPr>
              <w:spacing w:after="0" w:line="240" w:lineRule="auto"/>
              <w:rPr>
                <w:rFonts w:ascii="Times New Roman" w:eastAsia="Times New Roman" w:hAnsi="Times New Roman" w:cs="Times New Roman"/>
                <w:b/>
                <w:bCs/>
                <w:color w:val="000000"/>
                <w:sz w:val="20"/>
                <w:szCs w:val="20"/>
              </w:rPr>
            </w:pPr>
            <w:r w:rsidRPr="009E067D">
              <w:rPr>
                <w:rFonts w:ascii="Times New Roman" w:eastAsia="Times New Roman" w:hAnsi="Times New Roman" w:cs="Times New Roman"/>
                <w:b/>
                <w:bCs/>
                <w:color w:val="000000"/>
                <w:sz w:val="20"/>
                <w:szCs w:val="20"/>
              </w:rPr>
              <w:t>ДЗПО-професионален фонд 1-ва категория</w:t>
            </w:r>
          </w:p>
        </w:tc>
        <w:tc>
          <w:tcPr>
            <w:tcW w:w="0" w:type="auto"/>
            <w:tcBorders>
              <w:left w:val="single" w:sz="12" w:space="0" w:color="auto"/>
            </w:tcBorders>
            <w:shd w:val="clear" w:color="auto" w:fill="auto"/>
            <w:noWrap/>
            <w:vAlign w:val="bottom"/>
            <w:hideMark/>
          </w:tcPr>
          <w:p w:rsidR="00950BDF" w:rsidRPr="009E067D" w:rsidRDefault="009E067D" w:rsidP="00E44C19">
            <w:pPr>
              <w:spacing w:after="0" w:line="240" w:lineRule="auto"/>
              <w:jc w:val="right"/>
              <w:rPr>
                <w:rFonts w:ascii="Times New Roman" w:eastAsia="Times New Roman" w:hAnsi="Times New Roman" w:cs="Times New Roman"/>
                <w:color w:val="000000"/>
                <w:sz w:val="20"/>
                <w:szCs w:val="20"/>
                <w:lang w:val="en-US"/>
              </w:rPr>
            </w:pPr>
            <w:r w:rsidRPr="009E067D">
              <w:rPr>
                <w:rFonts w:ascii="Times New Roman" w:eastAsia="Times New Roman" w:hAnsi="Times New Roman" w:cs="Times New Roman"/>
                <w:color w:val="000000"/>
                <w:sz w:val="20"/>
                <w:szCs w:val="20"/>
              </w:rPr>
              <w:t>12</w:t>
            </w:r>
            <w:r w:rsidR="00233DB8">
              <w:rPr>
                <w:rFonts w:ascii="Times New Roman" w:eastAsia="Times New Roman" w:hAnsi="Times New Roman" w:cs="Times New Roman"/>
                <w:color w:val="000000"/>
                <w:sz w:val="20"/>
                <w:szCs w:val="20"/>
              </w:rPr>
              <w:t>.</w:t>
            </w:r>
            <w:r w:rsidRPr="009E067D">
              <w:rPr>
                <w:rFonts w:ascii="Times New Roman" w:eastAsia="Times New Roman" w:hAnsi="Times New Roman" w:cs="Times New Roman"/>
                <w:color w:val="000000"/>
                <w:sz w:val="20"/>
                <w:szCs w:val="20"/>
              </w:rPr>
              <w:t>00</w:t>
            </w:r>
          </w:p>
        </w:tc>
      </w:tr>
      <w:tr w:rsidR="00950BDF" w:rsidRPr="009E067D" w:rsidTr="00037C98">
        <w:trPr>
          <w:jc w:val="center"/>
        </w:trPr>
        <w:tc>
          <w:tcPr>
            <w:tcW w:w="0" w:type="auto"/>
            <w:tcBorders>
              <w:top w:val="single" w:sz="4" w:space="0" w:color="auto"/>
              <w:bottom w:val="single" w:sz="4" w:space="0" w:color="auto"/>
              <w:right w:val="single" w:sz="12" w:space="0" w:color="auto"/>
            </w:tcBorders>
            <w:shd w:val="clear" w:color="auto" w:fill="auto"/>
            <w:noWrap/>
            <w:vAlign w:val="bottom"/>
            <w:hideMark/>
          </w:tcPr>
          <w:p w:rsidR="00950BDF" w:rsidRPr="009E067D" w:rsidRDefault="00950BDF" w:rsidP="00E44C19">
            <w:pPr>
              <w:spacing w:after="0" w:line="240" w:lineRule="auto"/>
              <w:rPr>
                <w:rFonts w:ascii="Times New Roman" w:eastAsia="Times New Roman" w:hAnsi="Times New Roman" w:cs="Times New Roman"/>
                <w:b/>
                <w:bCs/>
                <w:color w:val="000000"/>
                <w:sz w:val="20"/>
                <w:szCs w:val="20"/>
              </w:rPr>
            </w:pPr>
            <w:r w:rsidRPr="009E067D">
              <w:rPr>
                <w:rFonts w:ascii="Times New Roman" w:eastAsia="Times New Roman" w:hAnsi="Times New Roman" w:cs="Times New Roman"/>
                <w:b/>
                <w:bCs/>
                <w:color w:val="000000"/>
                <w:sz w:val="20"/>
                <w:szCs w:val="20"/>
              </w:rPr>
              <w:t>ДЗПО-професионален фонд 2-ра категория</w:t>
            </w:r>
          </w:p>
        </w:tc>
        <w:tc>
          <w:tcPr>
            <w:tcW w:w="0" w:type="auto"/>
            <w:tcBorders>
              <w:left w:val="single" w:sz="12" w:space="0" w:color="auto"/>
            </w:tcBorders>
            <w:shd w:val="clear" w:color="auto" w:fill="auto"/>
            <w:noWrap/>
            <w:vAlign w:val="bottom"/>
            <w:hideMark/>
          </w:tcPr>
          <w:p w:rsidR="00950BDF" w:rsidRPr="009E067D" w:rsidRDefault="009E067D" w:rsidP="00E44C19">
            <w:pPr>
              <w:spacing w:after="0" w:line="240" w:lineRule="auto"/>
              <w:jc w:val="right"/>
              <w:rPr>
                <w:rFonts w:ascii="Times New Roman" w:eastAsia="Times New Roman" w:hAnsi="Times New Roman" w:cs="Times New Roman"/>
                <w:color w:val="000000"/>
                <w:sz w:val="20"/>
                <w:szCs w:val="20"/>
                <w:lang w:val="en-US"/>
              </w:rPr>
            </w:pPr>
            <w:r w:rsidRPr="009E067D">
              <w:rPr>
                <w:rFonts w:ascii="Times New Roman" w:eastAsia="Times New Roman" w:hAnsi="Times New Roman" w:cs="Times New Roman"/>
                <w:color w:val="000000"/>
                <w:sz w:val="20"/>
                <w:szCs w:val="20"/>
              </w:rPr>
              <w:t>7</w:t>
            </w:r>
            <w:r w:rsidR="00233DB8">
              <w:rPr>
                <w:rFonts w:ascii="Times New Roman" w:eastAsia="Times New Roman" w:hAnsi="Times New Roman" w:cs="Times New Roman"/>
                <w:color w:val="000000"/>
                <w:sz w:val="20"/>
                <w:szCs w:val="20"/>
              </w:rPr>
              <w:t>.</w:t>
            </w:r>
            <w:r w:rsidRPr="009E067D">
              <w:rPr>
                <w:rFonts w:ascii="Times New Roman" w:eastAsia="Times New Roman" w:hAnsi="Times New Roman" w:cs="Times New Roman"/>
                <w:color w:val="000000"/>
                <w:sz w:val="20"/>
                <w:szCs w:val="20"/>
              </w:rPr>
              <w:t>00</w:t>
            </w:r>
          </w:p>
        </w:tc>
      </w:tr>
      <w:tr w:rsidR="00950BDF" w:rsidRPr="009E067D" w:rsidTr="00037C98">
        <w:trPr>
          <w:jc w:val="center"/>
        </w:trPr>
        <w:tc>
          <w:tcPr>
            <w:tcW w:w="0" w:type="auto"/>
            <w:tcBorders>
              <w:top w:val="single" w:sz="4" w:space="0" w:color="auto"/>
              <w:bottom w:val="single" w:sz="4" w:space="0" w:color="auto"/>
              <w:right w:val="single" w:sz="12" w:space="0" w:color="auto"/>
            </w:tcBorders>
            <w:shd w:val="clear" w:color="auto" w:fill="auto"/>
            <w:noWrap/>
            <w:vAlign w:val="bottom"/>
            <w:hideMark/>
          </w:tcPr>
          <w:p w:rsidR="00950BDF" w:rsidRPr="009E067D" w:rsidRDefault="00950BDF" w:rsidP="00E44C19">
            <w:pPr>
              <w:spacing w:after="0" w:line="240" w:lineRule="auto"/>
              <w:rPr>
                <w:rFonts w:ascii="Times New Roman" w:eastAsia="Times New Roman" w:hAnsi="Times New Roman" w:cs="Times New Roman"/>
                <w:b/>
                <w:bCs/>
                <w:color w:val="000000"/>
                <w:sz w:val="20"/>
                <w:szCs w:val="20"/>
              </w:rPr>
            </w:pPr>
            <w:r w:rsidRPr="009E067D">
              <w:rPr>
                <w:rFonts w:ascii="Times New Roman" w:eastAsia="Times New Roman" w:hAnsi="Times New Roman" w:cs="Times New Roman"/>
                <w:b/>
                <w:bCs/>
                <w:color w:val="000000"/>
                <w:sz w:val="20"/>
                <w:szCs w:val="20"/>
              </w:rPr>
              <w:t>Фонд "Трудова злополука и професионална болест"</w:t>
            </w:r>
          </w:p>
        </w:tc>
        <w:tc>
          <w:tcPr>
            <w:tcW w:w="0" w:type="auto"/>
            <w:tcBorders>
              <w:left w:val="single" w:sz="12" w:space="0" w:color="auto"/>
            </w:tcBorders>
            <w:shd w:val="clear" w:color="auto" w:fill="auto"/>
            <w:noWrap/>
            <w:vAlign w:val="bottom"/>
            <w:hideMark/>
          </w:tcPr>
          <w:p w:rsidR="00950BDF" w:rsidRPr="009E067D" w:rsidRDefault="009E067D" w:rsidP="00E44C19">
            <w:pPr>
              <w:spacing w:after="0" w:line="240" w:lineRule="auto"/>
              <w:jc w:val="right"/>
              <w:rPr>
                <w:rFonts w:ascii="Times New Roman" w:eastAsia="Times New Roman" w:hAnsi="Times New Roman" w:cs="Times New Roman"/>
                <w:color w:val="000000"/>
                <w:sz w:val="20"/>
                <w:szCs w:val="20"/>
                <w:lang w:val="en-US"/>
              </w:rPr>
            </w:pPr>
            <w:r w:rsidRPr="009E067D">
              <w:rPr>
                <w:rFonts w:ascii="Times New Roman" w:eastAsia="Times New Roman" w:hAnsi="Times New Roman" w:cs="Times New Roman"/>
                <w:color w:val="000000"/>
                <w:sz w:val="20"/>
                <w:szCs w:val="20"/>
              </w:rPr>
              <w:t>0</w:t>
            </w:r>
            <w:r w:rsidR="00233DB8">
              <w:rPr>
                <w:rFonts w:ascii="Times New Roman" w:eastAsia="Times New Roman" w:hAnsi="Times New Roman" w:cs="Times New Roman"/>
                <w:color w:val="000000"/>
                <w:sz w:val="20"/>
                <w:szCs w:val="20"/>
              </w:rPr>
              <w:t>.</w:t>
            </w:r>
            <w:r w:rsidRPr="009E067D">
              <w:rPr>
                <w:rFonts w:ascii="Times New Roman" w:eastAsia="Times New Roman" w:hAnsi="Times New Roman" w:cs="Times New Roman"/>
                <w:color w:val="000000"/>
                <w:sz w:val="20"/>
                <w:szCs w:val="20"/>
              </w:rPr>
              <w:t>90</w:t>
            </w:r>
          </w:p>
        </w:tc>
      </w:tr>
      <w:tr w:rsidR="00950BDF" w:rsidRPr="009E067D" w:rsidTr="00037C98">
        <w:trPr>
          <w:jc w:val="center"/>
        </w:trPr>
        <w:tc>
          <w:tcPr>
            <w:tcW w:w="0" w:type="auto"/>
            <w:tcBorders>
              <w:top w:val="single" w:sz="4" w:space="0" w:color="auto"/>
              <w:bottom w:val="single" w:sz="4" w:space="0" w:color="auto"/>
              <w:right w:val="single" w:sz="12" w:space="0" w:color="auto"/>
            </w:tcBorders>
            <w:shd w:val="clear" w:color="auto" w:fill="auto"/>
            <w:noWrap/>
            <w:vAlign w:val="bottom"/>
            <w:hideMark/>
          </w:tcPr>
          <w:p w:rsidR="00950BDF" w:rsidRPr="009E067D" w:rsidRDefault="00950BDF" w:rsidP="00E44C19">
            <w:pPr>
              <w:spacing w:after="0" w:line="240" w:lineRule="auto"/>
              <w:rPr>
                <w:rFonts w:ascii="Times New Roman" w:eastAsia="Times New Roman" w:hAnsi="Times New Roman" w:cs="Times New Roman"/>
                <w:b/>
                <w:bCs/>
                <w:color w:val="000000"/>
                <w:sz w:val="20"/>
                <w:szCs w:val="20"/>
              </w:rPr>
            </w:pPr>
            <w:r w:rsidRPr="009E067D">
              <w:rPr>
                <w:rFonts w:ascii="Times New Roman" w:eastAsia="Times New Roman" w:hAnsi="Times New Roman" w:cs="Times New Roman"/>
                <w:b/>
                <w:bCs/>
                <w:color w:val="000000"/>
                <w:sz w:val="20"/>
                <w:szCs w:val="20"/>
              </w:rPr>
              <w:t xml:space="preserve">Осигурителни вноски за сметка на работодателя- 1-ва категория труд </w:t>
            </w:r>
          </w:p>
        </w:tc>
        <w:tc>
          <w:tcPr>
            <w:tcW w:w="0" w:type="auto"/>
            <w:tcBorders>
              <w:left w:val="single" w:sz="12" w:space="0" w:color="auto"/>
            </w:tcBorders>
            <w:shd w:val="clear" w:color="auto" w:fill="auto"/>
            <w:noWrap/>
            <w:vAlign w:val="bottom"/>
            <w:hideMark/>
          </w:tcPr>
          <w:p w:rsidR="00950BDF" w:rsidRPr="009E067D" w:rsidRDefault="009E067D" w:rsidP="00E44C19">
            <w:pPr>
              <w:spacing w:after="0" w:line="240" w:lineRule="auto"/>
              <w:jc w:val="right"/>
              <w:rPr>
                <w:rFonts w:ascii="Times New Roman" w:eastAsia="Times New Roman" w:hAnsi="Times New Roman" w:cs="Times New Roman"/>
                <w:b/>
                <w:bCs/>
                <w:color w:val="000000"/>
                <w:sz w:val="20"/>
                <w:szCs w:val="20"/>
                <w:lang w:val="en-US"/>
              </w:rPr>
            </w:pPr>
            <w:r w:rsidRPr="009E067D">
              <w:rPr>
                <w:rFonts w:ascii="Times New Roman" w:eastAsia="Times New Roman" w:hAnsi="Times New Roman" w:cs="Times New Roman"/>
                <w:b/>
                <w:bCs/>
                <w:color w:val="000000"/>
                <w:sz w:val="20"/>
                <w:szCs w:val="20"/>
              </w:rPr>
              <w:t>32</w:t>
            </w:r>
            <w:r w:rsidR="00233DB8">
              <w:rPr>
                <w:rFonts w:ascii="Times New Roman" w:eastAsia="Times New Roman" w:hAnsi="Times New Roman" w:cs="Times New Roman"/>
                <w:b/>
                <w:bCs/>
                <w:color w:val="000000"/>
                <w:sz w:val="20"/>
                <w:szCs w:val="20"/>
              </w:rPr>
              <w:t>.</w:t>
            </w:r>
            <w:r w:rsidRPr="009E067D">
              <w:rPr>
                <w:rFonts w:ascii="Times New Roman" w:eastAsia="Times New Roman" w:hAnsi="Times New Roman" w:cs="Times New Roman"/>
                <w:b/>
                <w:bCs/>
                <w:color w:val="000000"/>
                <w:sz w:val="20"/>
                <w:szCs w:val="20"/>
              </w:rPr>
              <w:t>28</w:t>
            </w:r>
          </w:p>
        </w:tc>
      </w:tr>
      <w:tr w:rsidR="00950BDF" w:rsidRPr="009E067D" w:rsidTr="00037C98">
        <w:trPr>
          <w:jc w:val="center"/>
        </w:trPr>
        <w:tc>
          <w:tcPr>
            <w:tcW w:w="0" w:type="auto"/>
            <w:tcBorders>
              <w:top w:val="single" w:sz="4" w:space="0" w:color="auto"/>
              <w:bottom w:val="single" w:sz="4" w:space="0" w:color="auto"/>
              <w:right w:val="single" w:sz="12" w:space="0" w:color="auto"/>
            </w:tcBorders>
            <w:shd w:val="clear" w:color="auto" w:fill="auto"/>
            <w:noWrap/>
            <w:vAlign w:val="bottom"/>
            <w:hideMark/>
          </w:tcPr>
          <w:p w:rsidR="00950BDF" w:rsidRPr="009E067D" w:rsidRDefault="00950BDF" w:rsidP="00E44C19">
            <w:pPr>
              <w:spacing w:after="0" w:line="240" w:lineRule="auto"/>
              <w:rPr>
                <w:rFonts w:ascii="Times New Roman" w:eastAsia="Times New Roman" w:hAnsi="Times New Roman" w:cs="Times New Roman"/>
                <w:b/>
                <w:bCs/>
                <w:color w:val="000000"/>
                <w:sz w:val="20"/>
                <w:szCs w:val="20"/>
              </w:rPr>
            </w:pPr>
            <w:r w:rsidRPr="009E067D">
              <w:rPr>
                <w:rFonts w:ascii="Times New Roman" w:eastAsia="Times New Roman" w:hAnsi="Times New Roman" w:cs="Times New Roman"/>
                <w:b/>
                <w:bCs/>
                <w:color w:val="000000"/>
                <w:sz w:val="20"/>
                <w:szCs w:val="20"/>
              </w:rPr>
              <w:t xml:space="preserve">Осигурителни вноски за сметка на работодателя- 2-ра категория труд </w:t>
            </w:r>
          </w:p>
        </w:tc>
        <w:tc>
          <w:tcPr>
            <w:tcW w:w="0" w:type="auto"/>
            <w:tcBorders>
              <w:left w:val="single" w:sz="12" w:space="0" w:color="auto"/>
            </w:tcBorders>
            <w:shd w:val="clear" w:color="auto" w:fill="auto"/>
            <w:noWrap/>
            <w:vAlign w:val="bottom"/>
            <w:hideMark/>
          </w:tcPr>
          <w:p w:rsidR="00950BDF" w:rsidRPr="009E067D" w:rsidRDefault="009E067D" w:rsidP="00E44C19">
            <w:pPr>
              <w:spacing w:after="0" w:line="240" w:lineRule="auto"/>
              <w:jc w:val="right"/>
              <w:rPr>
                <w:rFonts w:ascii="Times New Roman" w:eastAsia="Times New Roman" w:hAnsi="Times New Roman" w:cs="Times New Roman"/>
                <w:b/>
                <w:bCs/>
                <w:color w:val="000000"/>
                <w:sz w:val="20"/>
                <w:szCs w:val="20"/>
                <w:lang w:val="en-US"/>
              </w:rPr>
            </w:pPr>
            <w:r w:rsidRPr="009E067D">
              <w:rPr>
                <w:rFonts w:ascii="Times New Roman" w:eastAsia="Times New Roman" w:hAnsi="Times New Roman" w:cs="Times New Roman"/>
                <w:b/>
                <w:bCs/>
                <w:color w:val="000000"/>
                <w:sz w:val="20"/>
                <w:szCs w:val="20"/>
              </w:rPr>
              <w:t>27</w:t>
            </w:r>
            <w:r w:rsidR="00233DB8">
              <w:rPr>
                <w:rFonts w:ascii="Times New Roman" w:eastAsia="Times New Roman" w:hAnsi="Times New Roman" w:cs="Times New Roman"/>
                <w:b/>
                <w:bCs/>
                <w:color w:val="000000"/>
                <w:sz w:val="20"/>
                <w:szCs w:val="20"/>
              </w:rPr>
              <w:t>.</w:t>
            </w:r>
            <w:r w:rsidRPr="009E067D">
              <w:rPr>
                <w:rFonts w:ascii="Times New Roman" w:eastAsia="Times New Roman" w:hAnsi="Times New Roman" w:cs="Times New Roman"/>
                <w:b/>
                <w:bCs/>
                <w:color w:val="000000"/>
                <w:sz w:val="20"/>
                <w:szCs w:val="20"/>
              </w:rPr>
              <w:t>28</w:t>
            </w:r>
          </w:p>
        </w:tc>
      </w:tr>
      <w:tr w:rsidR="00950BDF" w:rsidRPr="009E067D" w:rsidTr="00037C98">
        <w:trPr>
          <w:jc w:val="center"/>
        </w:trPr>
        <w:tc>
          <w:tcPr>
            <w:tcW w:w="0" w:type="auto"/>
            <w:tcBorders>
              <w:top w:val="single" w:sz="4" w:space="0" w:color="auto"/>
              <w:bottom w:val="single" w:sz="12" w:space="0" w:color="auto"/>
              <w:right w:val="single" w:sz="12" w:space="0" w:color="auto"/>
            </w:tcBorders>
            <w:shd w:val="clear" w:color="auto" w:fill="auto"/>
            <w:noWrap/>
            <w:vAlign w:val="bottom"/>
            <w:hideMark/>
          </w:tcPr>
          <w:p w:rsidR="00950BDF" w:rsidRPr="009E067D" w:rsidRDefault="00950BDF" w:rsidP="00E44C19">
            <w:pPr>
              <w:spacing w:after="0" w:line="240" w:lineRule="auto"/>
              <w:rPr>
                <w:rFonts w:ascii="Times New Roman" w:eastAsia="Times New Roman" w:hAnsi="Times New Roman" w:cs="Times New Roman"/>
                <w:b/>
                <w:bCs/>
                <w:color w:val="000000"/>
                <w:sz w:val="20"/>
                <w:szCs w:val="20"/>
              </w:rPr>
            </w:pPr>
            <w:r w:rsidRPr="009E067D">
              <w:rPr>
                <w:rFonts w:ascii="Times New Roman" w:eastAsia="Times New Roman" w:hAnsi="Times New Roman" w:cs="Times New Roman"/>
                <w:b/>
                <w:bCs/>
                <w:color w:val="000000"/>
                <w:sz w:val="20"/>
                <w:szCs w:val="20"/>
              </w:rPr>
              <w:t xml:space="preserve">Осигурителни вноски за сметка на работодателя- 3-та категория труд </w:t>
            </w:r>
          </w:p>
        </w:tc>
        <w:tc>
          <w:tcPr>
            <w:tcW w:w="0" w:type="auto"/>
            <w:tcBorders>
              <w:left w:val="single" w:sz="12" w:space="0" w:color="auto"/>
            </w:tcBorders>
            <w:shd w:val="clear" w:color="auto" w:fill="auto"/>
            <w:noWrap/>
            <w:vAlign w:val="bottom"/>
            <w:hideMark/>
          </w:tcPr>
          <w:p w:rsidR="00950BDF" w:rsidRPr="009E067D" w:rsidRDefault="009E067D" w:rsidP="00E44C19">
            <w:pPr>
              <w:spacing w:after="0" w:line="240" w:lineRule="auto"/>
              <w:jc w:val="right"/>
              <w:rPr>
                <w:rFonts w:ascii="Times New Roman" w:eastAsia="Times New Roman" w:hAnsi="Times New Roman" w:cs="Times New Roman"/>
                <w:b/>
                <w:bCs/>
                <w:color w:val="000000"/>
                <w:sz w:val="20"/>
                <w:szCs w:val="20"/>
                <w:lang w:val="en-US"/>
              </w:rPr>
            </w:pPr>
            <w:r w:rsidRPr="009E067D">
              <w:rPr>
                <w:rFonts w:ascii="Times New Roman" w:eastAsia="Times New Roman" w:hAnsi="Times New Roman" w:cs="Times New Roman"/>
                <w:b/>
                <w:bCs/>
                <w:color w:val="000000"/>
                <w:sz w:val="20"/>
                <w:szCs w:val="20"/>
              </w:rPr>
              <w:t>20</w:t>
            </w:r>
            <w:r w:rsidR="00233DB8">
              <w:rPr>
                <w:rFonts w:ascii="Times New Roman" w:eastAsia="Times New Roman" w:hAnsi="Times New Roman" w:cs="Times New Roman"/>
                <w:b/>
                <w:bCs/>
                <w:color w:val="000000"/>
                <w:sz w:val="20"/>
                <w:szCs w:val="20"/>
              </w:rPr>
              <w:t>.</w:t>
            </w:r>
            <w:r w:rsidRPr="009E067D">
              <w:rPr>
                <w:rFonts w:ascii="Times New Roman" w:eastAsia="Times New Roman" w:hAnsi="Times New Roman" w:cs="Times New Roman"/>
                <w:b/>
                <w:bCs/>
                <w:color w:val="000000"/>
                <w:sz w:val="20"/>
                <w:szCs w:val="20"/>
              </w:rPr>
              <w:t>08</w:t>
            </w:r>
          </w:p>
        </w:tc>
      </w:tr>
    </w:tbl>
    <w:p w:rsidR="00950BDF" w:rsidRPr="009E067D" w:rsidRDefault="00950BDF" w:rsidP="00E44C19">
      <w:pPr>
        <w:spacing w:before="120" w:after="120" w:line="240" w:lineRule="auto"/>
        <w:jc w:val="center"/>
        <w:rPr>
          <w:rFonts w:ascii="Times New Roman" w:hAnsi="Times New Roman" w:cs="Times New Roman"/>
          <w:sz w:val="20"/>
          <w:szCs w:val="24"/>
        </w:rPr>
      </w:pPr>
      <w:r w:rsidRPr="009E067D">
        <w:rPr>
          <w:rFonts w:ascii="Times New Roman" w:hAnsi="Times New Roman" w:cs="Times New Roman"/>
          <w:sz w:val="20"/>
          <w:szCs w:val="24"/>
        </w:rPr>
        <w:t>Източник: Съставена от авторите по данни на НОИ и социално-осигурителното законодателство.</w:t>
      </w:r>
    </w:p>
    <w:p w:rsidR="00950BDF" w:rsidRPr="00950BDF" w:rsidRDefault="00950BDF" w:rsidP="00E44C19">
      <w:pPr>
        <w:spacing w:before="120" w:after="120" w:line="240" w:lineRule="auto"/>
        <w:rPr>
          <w:rFonts w:ascii="Times New Roman" w:hAnsi="Times New Roman" w:cs="Times New Roman"/>
          <w:sz w:val="24"/>
          <w:szCs w:val="24"/>
        </w:rPr>
      </w:pPr>
    </w:p>
    <w:p w:rsidR="00950BDF" w:rsidRPr="00950BDF" w:rsidRDefault="00950BDF" w:rsidP="00E44C19">
      <w:pPr>
        <w:spacing w:before="120" w:after="120" w:line="240" w:lineRule="auto"/>
        <w:rPr>
          <w:rFonts w:ascii="Times New Roman" w:hAnsi="Times New Roman" w:cs="Times New Roman"/>
          <w:i/>
          <w:sz w:val="24"/>
          <w:szCs w:val="24"/>
        </w:rPr>
      </w:pPr>
      <w:r w:rsidRPr="00950BDF">
        <w:rPr>
          <w:rFonts w:ascii="Times New Roman" w:hAnsi="Times New Roman" w:cs="Times New Roman"/>
          <w:i/>
          <w:sz w:val="24"/>
          <w:szCs w:val="24"/>
        </w:rPr>
        <w:t xml:space="preserve">Разходи за ядрено гориво </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Обичайно ядрените електроцентрали с цел сигурност доставят ядрено гориво на базата на дългосрочни договори с конфиденциален характер, като предвид дългосрочния им характер се получава разминаване между пазарната и договорната цена.</w:t>
      </w:r>
    </w:p>
    <w:p w:rsid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Разходите за ядрено гориво в модела стъпват върху разходите на АЕЦ „Козлодуй“ ЕАД за 2021 г. от Бизнес програмата за 2017-2021 г</w:t>
      </w:r>
      <w:r w:rsidR="00037C98">
        <w:rPr>
          <w:rFonts w:ascii="Times New Roman" w:hAnsi="Times New Roman" w:cs="Times New Roman"/>
          <w:sz w:val="24"/>
          <w:szCs w:val="24"/>
        </w:rPr>
        <w:t>.</w:t>
      </w:r>
      <w:r w:rsidRPr="00950BDF">
        <w:rPr>
          <w:rFonts w:ascii="Times New Roman" w:hAnsi="Times New Roman" w:cs="Times New Roman"/>
          <w:sz w:val="24"/>
          <w:szCs w:val="24"/>
        </w:rPr>
        <w:t>, като са ескалирани за периода на експлоатация на АЕЦ „Белене“. Причината за избора на тази година е, че до 2021 г. АЕЦ „Козлодуй“ ЕАД поетапно ще премине към нов тип гориво с цел оптимизиране на ядрено-горивния цикъл, като това гориво е сходно с горивото, предвидено да се използва от АЕЦ "Белене".</w:t>
      </w:r>
    </w:p>
    <w:p w:rsidR="00037C98" w:rsidRPr="00950BDF" w:rsidRDefault="00037C98" w:rsidP="00E44C19">
      <w:pPr>
        <w:spacing w:before="120" w:after="120" w:line="240" w:lineRule="auto"/>
        <w:jc w:val="both"/>
        <w:rPr>
          <w:rFonts w:ascii="Times New Roman" w:hAnsi="Times New Roman" w:cs="Times New Roman"/>
          <w:sz w:val="24"/>
          <w:szCs w:val="24"/>
        </w:rPr>
      </w:pPr>
    </w:p>
    <w:p w:rsidR="00950BDF" w:rsidRPr="00950BDF" w:rsidRDefault="00950BDF" w:rsidP="00E44C19">
      <w:pPr>
        <w:keepNext/>
        <w:spacing w:before="120" w:after="120" w:line="240" w:lineRule="auto"/>
        <w:jc w:val="both"/>
        <w:rPr>
          <w:rFonts w:ascii="Times New Roman" w:hAnsi="Times New Roman" w:cs="Times New Roman"/>
          <w:i/>
          <w:sz w:val="24"/>
          <w:szCs w:val="24"/>
        </w:rPr>
      </w:pPr>
      <w:r w:rsidRPr="00950BDF">
        <w:rPr>
          <w:rFonts w:ascii="Times New Roman" w:hAnsi="Times New Roman" w:cs="Times New Roman"/>
          <w:i/>
          <w:sz w:val="24"/>
          <w:szCs w:val="24"/>
        </w:rPr>
        <w:t xml:space="preserve">Разходи за текущи ремонти, външни услуги, застраховки на имущество и ядрена вреда </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Тези разходи са моделирани въз основа на разходите на АЕЦ „Козлодуй“ ЕАД, тъй като двете ядрени мощности имат почти идентичен капацитет, реакторна инсталация, технически и експлоатационни характеристики и параметри</w:t>
      </w:r>
      <w:r w:rsidR="00037C98">
        <w:rPr>
          <w:rFonts w:ascii="Times New Roman" w:hAnsi="Times New Roman" w:cs="Times New Roman"/>
          <w:sz w:val="24"/>
          <w:szCs w:val="24"/>
        </w:rPr>
        <w:t>,</w:t>
      </w:r>
      <w:r w:rsidRPr="00950BDF">
        <w:rPr>
          <w:rFonts w:ascii="Times New Roman" w:hAnsi="Times New Roman" w:cs="Times New Roman"/>
          <w:sz w:val="24"/>
          <w:szCs w:val="24"/>
        </w:rPr>
        <w:t xml:space="preserve"> и функционират в еднаква социално-икономическа среда.</w:t>
      </w:r>
    </w:p>
    <w:p w:rsidR="001D138F" w:rsidRPr="000C6B64" w:rsidRDefault="00950BDF" w:rsidP="001D138F">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lastRenderedPageBreak/>
        <w:t>Разходите за текущи ремонти са предвидени след третата година от влизане в експлоатация на всеки блок на АЕЦ "Белене", съответно четвъртата година за Блок 1</w:t>
      </w:r>
      <w:r w:rsidR="00037C98">
        <w:rPr>
          <w:rFonts w:ascii="Times New Roman" w:hAnsi="Times New Roman" w:cs="Times New Roman"/>
          <w:sz w:val="24"/>
          <w:szCs w:val="24"/>
        </w:rPr>
        <w:t>,</w:t>
      </w:r>
      <w:r w:rsidRPr="00950BDF">
        <w:rPr>
          <w:rFonts w:ascii="Times New Roman" w:hAnsi="Times New Roman" w:cs="Times New Roman"/>
          <w:sz w:val="24"/>
          <w:szCs w:val="24"/>
        </w:rPr>
        <w:t xml:space="preserve"> и петата година за Блок 2. </w:t>
      </w:r>
      <w:r w:rsidR="001D138F" w:rsidRPr="00DB1A1E">
        <w:rPr>
          <w:rFonts w:ascii="Times New Roman" w:hAnsi="Times New Roman" w:cs="Times New Roman"/>
          <w:sz w:val="24"/>
          <w:szCs w:val="24"/>
        </w:rPr>
        <w:t>Разходите за текущи ремонти са прогнозирани на база заложените стойности за 2017 г. в Бизнес програмата</w:t>
      </w:r>
      <w:r w:rsidR="00010DC4">
        <w:rPr>
          <w:rFonts w:ascii="Times New Roman" w:hAnsi="Times New Roman" w:cs="Times New Roman"/>
          <w:sz w:val="24"/>
          <w:szCs w:val="24"/>
        </w:rPr>
        <w:t xml:space="preserve"> </w:t>
      </w:r>
      <w:r w:rsidR="001D138F" w:rsidRPr="00DB1A1E">
        <w:rPr>
          <w:rFonts w:ascii="Times New Roman" w:hAnsi="Times New Roman" w:cs="Times New Roman"/>
          <w:sz w:val="24"/>
          <w:szCs w:val="24"/>
        </w:rPr>
        <w:t xml:space="preserve">на АЕЦ Козлодуй за 2017-2021 г. Тъй като в този документ разходите за текущи ремонти съдържат 2 компонента </w:t>
      </w:r>
      <w:r w:rsidR="00010DC4">
        <w:rPr>
          <w:rFonts w:ascii="Times New Roman" w:hAnsi="Times New Roman" w:cs="Times New Roman"/>
          <w:sz w:val="24"/>
          <w:szCs w:val="24"/>
        </w:rPr>
        <w:t>–</w:t>
      </w:r>
      <w:r w:rsidR="001D138F" w:rsidRPr="00DB1A1E">
        <w:rPr>
          <w:rFonts w:ascii="Times New Roman" w:hAnsi="Times New Roman" w:cs="Times New Roman"/>
          <w:sz w:val="24"/>
          <w:szCs w:val="24"/>
        </w:rPr>
        <w:t xml:space="preserve"> разходи за материали и разходи за услуг</w:t>
      </w:r>
      <w:r w:rsidR="000C6B64">
        <w:rPr>
          <w:rFonts w:ascii="Times New Roman" w:hAnsi="Times New Roman" w:cs="Times New Roman"/>
          <w:sz w:val="24"/>
          <w:szCs w:val="24"/>
        </w:rPr>
        <w:t>и</w:t>
      </w:r>
      <w:r w:rsidR="001D138F" w:rsidRPr="00DB1A1E">
        <w:rPr>
          <w:rFonts w:ascii="Times New Roman" w:hAnsi="Times New Roman" w:cs="Times New Roman"/>
          <w:sz w:val="24"/>
          <w:szCs w:val="24"/>
        </w:rPr>
        <w:t xml:space="preserve">, то в перо </w:t>
      </w:r>
      <w:r w:rsidR="00010DC4">
        <w:rPr>
          <w:rFonts w:ascii="Times New Roman" w:hAnsi="Times New Roman" w:cs="Times New Roman"/>
          <w:sz w:val="24"/>
          <w:szCs w:val="24"/>
        </w:rPr>
        <w:t>„</w:t>
      </w:r>
      <w:r w:rsidR="001D138F" w:rsidRPr="00DB1A1E">
        <w:rPr>
          <w:rFonts w:ascii="Times New Roman" w:hAnsi="Times New Roman" w:cs="Times New Roman"/>
          <w:sz w:val="24"/>
          <w:szCs w:val="24"/>
        </w:rPr>
        <w:t>текущи ремонти</w:t>
      </w:r>
      <w:r w:rsidR="00010DC4">
        <w:rPr>
          <w:rFonts w:ascii="Times New Roman" w:hAnsi="Times New Roman" w:cs="Times New Roman"/>
          <w:sz w:val="24"/>
          <w:szCs w:val="24"/>
        </w:rPr>
        <w:t>”</w:t>
      </w:r>
      <w:r w:rsidR="001D138F" w:rsidRPr="00DB1A1E">
        <w:rPr>
          <w:rFonts w:ascii="Times New Roman" w:hAnsi="Times New Roman" w:cs="Times New Roman"/>
          <w:sz w:val="24"/>
          <w:szCs w:val="24"/>
        </w:rPr>
        <w:t xml:space="preserve"> на модела са заложени само частта от разходите за услуг</w:t>
      </w:r>
      <w:r w:rsidR="000C6B64">
        <w:rPr>
          <w:rFonts w:ascii="Times New Roman" w:hAnsi="Times New Roman" w:cs="Times New Roman"/>
          <w:sz w:val="24"/>
          <w:szCs w:val="24"/>
        </w:rPr>
        <w:t>ите</w:t>
      </w:r>
      <w:r w:rsidR="001D138F" w:rsidRPr="00DB1A1E">
        <w:rPr>
          <w:rFonts w:ascii="Times New Roman" w:hAnsi="Times New Roman" w:cs="Times New Roman"/>
          <w:sz w:val="24"/>
          <w:szCs w:val="24"/>
        </w:rPr>
        <w:t xml:space="preserve">, а частта за материалите е прогнозирана към перо </w:t>
      </w:r>
      <w:r w:rsidR="00010DC4">
        <w:rPr>
          <w:rFonts w:ascii="Times New Roman" w:hAnsi="Times New Roman" w:cs="Times New Roman"/>
          <w:sz w:val="24"/>
          <w:szCs w:val="24"/>
        </w:rPr>
        <w:t>„</w:t>
      </w:r>
      <w:r w:rsidR="001D138F" w:rsidRPr="00DB1A1E">
        <w:rPr>
          <w:rFonts w:ascii="Times New Roman" w:hAnsi="Times New Roman" w:cs="Times New Roman"/>
          <w:sz w:val="24"/>
          <w:szCs w:val="24"/>
        </w:rPr>
        <w:t>материали</w:t>
      </w:r>
      <w:r w:rsidR="00010DC4">
        <w:rPr>
          <w:rFonts w:ascii="Times New Roman" w:hAnsi="Times New Roman" w:cs="Times New Roman"/>
          <w:sz w:val="24"/>
          <w:szCs w:val="24"/>
        </w:rPr>
        <w:t>”</w:t>
      </w:r>
      <w:r w:rsidR="001D138F" w:rsidRPr="00DB1A1E">
        <w:rPr>
          <w:rFonts w:ascii="Times New Roman" w:hAnsi="Times New Roman" w:cs="Times New Roman"/>
          <w:sz w:val="24"/>
          <w:szCs w:val="24"/>
        </w:rPr>
        <w:t xml:space="preserve"> по-долу.</w:t>
      </w:r>
    </w:p>
    <w:p w:rsidR="00950BDF" w:rsidRPr="00950BDF" w:rsidRDefault="001D138F" w:rsidP="001D138F">
      <w:pPr>
        <w:spacing w:before="120" w:after="120" w:line="240" w:lineRule="auto"/>
        <w:jc w:val="both"/>
        <w:rPr>
          <w:rFonts w:ascii="Times New Roman" w:hAnsi="Times New Roman" w:cs="Times New Roman"/>
          <w:sz w:val="24"/>
          <w:szCs w:val="24"/>
        </w:rPr>
      </w:pPr>
      <w:r w:rsidRPr="00DB1A1E">
        <w:rPr>
          <w:rFonts w:ascii="Times New Roman" w:hAnsi="Times New Roman" w:cs="Times New Roman"/>
          <w:sz w:val="24"/>
          <w:szCs w:val="24"/>
        </w:rPr>
        <w:t xml:space="preserve">Разходите за външни услуги са прогнозирани  на база заложените стойности за 2017 г. в Бизнес програмата за 2017-2021 г., а разходите за застраховки </w:t>
      </w:r>
      <w:r w:rsidR="000C6B64" w:rsidRPr="00DB1A1E">
        <w:rPr>
          <w:rFonts w:ascii="Times New Roman" w:hAnsi="Times New Roman" w:cs="Times New Roman"/>
          <w:sz w:val="24"/>
          <w:szCs w:val="24"/>
        </w:rPr>
        <w:t xml:space="preserve">на </w:t>
      </w:r>
      <w:r w:rsidRPr="00DB1A1E">
        <w:rPr>
          <w:rFonts w:ascii="Times New Roman" w:hAnsi="Times New Roman" w:cs="Times New Roman"/>
          <w:sz w:val="24"/>
          <w:szCs w:val="24"/>
        </w:rPr>
        <w:t xml:space="preserve">имущество и ядрена вреда са прогнозирани на база данни от отчетите за дейността на АЕЦ </w:t>
      </w:r>
      <w:r w:rsidR="00010DC4">
        <w:rPr>
          <w:rFonts w:ascii="Times New Roman" w:hAnsi="Times New Roman" w:cs="Times New Roman"/>
          <w:sz w:val="24"/>
          <w:szCs w:val="24"/>
        </w:rPr>
        <w:t>„</w:t>
      </w:r>
      <w:r w:rsidRPr="00DB1A1E">
        <w:rPr>
          <w:rFonts w:ascii="Times New Roman" w:hAnsi="Times New Roman" w:cs="Times New Roman"/>
          <w:sz w:val="24"/>
          <w:szCs w:val="24"/>
        </w:rPr>
        <w:t>Козлодуй</w:t>
      </w:r>
      <w:r w:rsidR="00010DC4">
        <w:rPr>
          <w:rFonts w:ascii="Times New Roman" w:hAnsi="Times New Roman" w:cs="Times New Roman"/>
          <w:sz w:val="24"/>
          <w:szCs w:val="24"/>
        </w:rPr>
        <w:t>”</w:t>
      </w:r>
      <w:r w:rsidRPr="00DB1A1E">
        <w:rPr>
          <w:rFonts w:ascii="Times New Roman" w:hAnsi="Times New Roman" w:cs="Times New Roman"/>
          <w:sz w:val="24"/>
          <w:szCs w:val="24"/>
        </w:rPr>
        <w:t>.</w:t>
      </w:r>
    </w:p>
    <w:p w:rsidR="00950BDF" w:rsidRPr="00950BDF" w:rsidRDefault="00950BDF" w:rsidP="00E44C19">
      <w:pPr>
        <w:spacing w:before="120" w:after="120" w:line="240" w:lineRule="auto"/>
        <w:jc w:val="both"/>
        <w:rPr>
          <w:rFonts w:ascii="Times New Roman" w:hAnsi="Times New Roman" w:cs="Times New Roman"/>
          <w:sz w:val="24"/>
          <w:szCs w:val="24"/>
        </w:rPr>
      </w:pPr>
    </w:p>
    <w:p w:rsidR="00950BDF" w:rsidRPr="00037C98" w:rsidRDefault="00950BDF" w:rsidP="00E44C19">
      <w:pPr>
        <w:spacing w:before="120" w:after="120" w:line="240" w:lineRule="auto"/>
        <w:jc w:val="both"/>
        <w:rPr>
          <w:rFonts w:ascii="Times New Roman" w:hAnsi="Times New Roman" w:cs="Times New Roman"/>
          <w:sz w:val="24"/>
          <w:szCs w:val="24"/>
          <w:u w:val="single"/>
        </w:rPr>
      </w:pPr>
      <w:r w:rsidRPr="00037C98">
        <w:rPr>
          <w:rFonts w:ascii="Times New Roman" w:hAnsi="Times New Roman" w:cs="Times New Roman"/>
          <w:sz w:val="24"/>
          <w:szCs w:val="24"/>
          <w:u w:val="single"/>
        </w:rPr>
        <w:t>Променливи разходи</w:t>
      </w:r>
    </w:p>
    <w:p w:rsidR="00950BDF" w:rsidRPr="00950BDF" w:rsidRDefault="00950BDF" w:rsidP="00E44C19">
      <w:pPr>
        <w:spacing w:before="120" w:after="120" w:line="240" w:lineRule="auto"/>
        <w:jc w:val="both"/>
        <w:rPr>
          <w:rFonts w:ascii="Times New Roman" w:hAnsi="Times New Roman" w:cs="Times New Roman"/>
          <w:i/>
          <w:sz w:val="24"/>
          <w:szCs w:val="24"/>
        </w:rPr>
      </w:pPr>
      <w:r w:rsidRPr="00950BDF">
        <w:rPr>
          <w:rFonts w:ascii="Times New Roman" w:hAnsi="Times New Roman" w:cs="Times New Roman"/>
          <w:i/>
          <w:sz w:val="24"/>
          <w:szCs w:val="24"/>
        </w:rPr>
        <w:t>Разходи за водоползване</w:t>
      </w:r>
    </w:p>
    <w:p w:rsid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 xml:space="preserve">Разходите за водоползване са </w:t>
      </w:r>
      <w:r w:rsidR="00037C98">
        <w:rPr>
          <w:rFonts w:ascii="Times New Roman" w:hAnsi="Times New Roman" w:cs="Times New Roman"/>
          <w:sz w:val="24"/>
          <w:szCs w:val="24"/>
        </w:rPr>
        <w:t>моделирани по следния алгоритъм –</w:t>
      </w:r>
      <w:r w:rsidRPr="00950BDF">
        <w:rPr>
          <w:rFonts w:ascii="Times New Roman" w:hAnsi="Times New Roman" w:cs="Times New Roman"/>
          <w:sz w:val="24"/>
          <w:szCs w:val="24"/>
        </w:rPr>
        <w:t xml:space="preserve"> в съответствие с посоченото сходство на техническите и експлоатационните характеристики на АЕЦ „Козлодуй“ и АЕЦ „Белене“ е изчислен прогнозен разход за водоползване на 1 mWh произведена електроенергия към 2017 г.</w:t>
      </w:r>
      <w:r w:rsidR="00037C98">
        <w:rPr>
          <w:rFonts w:ascii="Times New Roman" w:hAnsi="Times New Roman" w:cs="Times New Roman"/>
          <w:sz w:val="24"/>
          <w:szCs w:val="24"/>
        </w:rPr>
        <w:t>,</w:t>
      </w:r>
      <w:r w:rsidRPr="00950BDF">
        <w:rPr>
          <w:rFonts w:ascii="Times New Roman" w:hAnsi="Times New Roman" w:cs="Times New Roman"/>
          <w:sz w:val="24"/>
          <w:szCs w:val="24"/>
        </w:rPr>
        <w:t xml:space="preserve"> въз основа на данни от </w:t>
      </w:r>
      <w:r w:rsidR="00037C98">
        <w:rPr>
          <w:rFonts w:ascii="Times New Roman" w:hAnsi="Times New Roman" w:cs="Times New Roman"/>
          <w:sz w:val="24"/>
          <w:szCs w:val="24"/>
        </w:rPr>
        <w:t>б</w:t>
      </w:r>
      <w:r w:rsidRPr="00950BDF">
        <w:rPr>
          <w:rFonts w:ascii="Times New Roman" w:hAnsi="Times New Roman" w:cs="Times New Roman"/>
          <w:sz w:val="24"/>
          <w:szCs w:val="24"/>
        </w:rPr>
        <w:t>изнес плана на АЕЦ „Козлодуй“. Тази стойност е ескалирана до края на референтния период на проекта. Разходите за водоползване за всяка година са изчислени като произведение на прогнозния разход за единица произведена електроенергия и произведеното количество за съответната година.</w:t>
      </w:r>
    </w:p>
    <w:p w:rsidR="00037C98" w:rsidRPr="00950BDF" w:rsidRDefault="00037C98" w:rsidP="00E44C19">
      <w:pPr>
        <w:spacing w:before="120" w:after="120" w:line="240" w:lineRule="auto"/>
        <w:jc w:val="both"/>
        <w:rPr>
          <w:rFonts w:ascii="Times New Roman" w:hAnsi="Times New Roman" w:cs="Times New Roman"/>
          <w:sz w:val="24"/>
          <w:szCs w:val="24"/>
        </w:rPr>
      </w:pPr>
    </w:p>
    <w:p w:rsidR="00950BDF" w:rsidRPr="00950BDF" w:rsidRDefault="00950BDF" w:rsidP="00E44C19">
      <w:pPr>
        <w:spacing w:before="120" w:after="120" w:line="240" w:lineRule="auto"/>
        <w:jc w:val="both"/>
        <w:rPr>
          <w:rFonts w:ascii="Times New Roman" w:hAnsi="Times New Roman" w:cs="Times New Roman"/>
          <w:i/>
          <w:sz w:val="24"/>
          <w:szCs w:val="24"/>
        </w:rPr>
      </w:pPr>
      <w:r w:rsidRPr="00950BDF">
        <w:rPr>
          <w:rFonts w:ascii="Times New Roman" w:hAnsi="Times New Roman" w:cs="Times New Roman"/>
          <w:i/>
          <w:sz w:val="24"/>
          <w:szCs w:val="24"/>
        </w:rPr>
        <w:t>Разходи за материали</w:t>
      </w:r>
    </w:p>
    <w:p w:rsid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 xml:space="preserve">Разходите за материали са </w:t>
      </w:r>
      <w:r w:rsidR="00431798">
        <w:rPr>
          <w:rFonts w:ascii="Times New Roman" w:hAnsi="Times New Roman" w:cs="Times New Roman"/>
          <w:sz w:val="24"/>
          <w:szCs w:val="24"/>
        </w:rPr>
        <w:t>изчислени</w:t>
      </w:r>
      <w:r w:rsidR="00010DC4">
        <w:rPr>
          <w:rFonts w:ascii="Times New Roman" w:hAnsi="Times New Roman" w:cs="Times New Roman"/>
          <w:sz w:val="24"/>
          <w:szCs w:val="24"/>
        </w:rPr>
        <w:t xml:space="preserve"> </w:t>
      </w:r>
      <w:r w:rsidRPr="00950BDF">
        <w:rPr>
          <w:rFonts w:ascii="Times New Roman" w:hAnsi="Times New Roman" w:cs="Times New Roman"/>
          <w:sz w:val="24"/>
          <w:szCs w:val="24"/>
        </w:rPr>
        <w:t xml:space="preserve">по </w:t>
      </w:r>
      <w:r w:rsidR="00431798">
        <w:rPr>
          <w:rFonts w:ascii="Times New Roman" w:hAnsi="Times New Roman" w:cs="Times New Roman"/>
          <w:sz w:val="24"/>
          <w:szCs w:val="24"/>
        </w:rPr>
        <w:t>представения</w:t>
      </w:r>
      <w:r w:rsidR="00010DC4">
        <w:rPr>
          <w:rFonts w:ascii="Times New Roman" w:hAnsi="Times New Roman" w:cs="Times New Roman"/>
          <w:sz w:val="24"/>
          <w:szCs w:val="24"/>
        </w:rPr>
        <w:t xml:space="preserve"> </w:t>
      </w:r>
      <w:r w:rsidRPr="00950BDF">
        <w:rPr>
          <w:rFonts w:ascii="Times New Roman" w:hAnsi="Times New Roman" w:cs="Times New Roman"/>
          <w:sz w:val="24"/>
          <w:szCs w:val="24"/>
        </w:rPr>
        <w:t>алгоритъм за моделиране на разходите за водоползване.</w:t>
      </w:r>
      <w:r w:rsidR="004D4B92" w:rsidRPr="00DB1A1E">
        <w:rPr>
          <w:rFonts w:ascii="Times New Roman" w:hAnsi="Times New Roman" w:cs="Times New Roman"/>
          <w:sz w:val="24"/>
          <w:szCs w:val="24"/>
        </w:rPr>
        <w:t xml:space="preserve"> При изчисляването на стойността на разходите на 1 mWh е заложена сумата на разходите от перо "материали" и разходите по компонент "материали" от перо "текущи ремонти" за 2017 г. в Бизнес програмата</w:t>
      </w:r>
      <w:r w:rsidR="00010DC4">
        <w:rPr>
          <w:rFonts w:ascii="Times New Roman" w:hAnsi="Times New Roman" w:cs="Times New Roman"/>
          <w:sz w:val="24"/>
          <w:szCs w:val="24"/>
        </w:rPr>
        <w:t xml:space="preserve"> </w:t>
      </w:r>
      <w:r w:rsidR="004D4B92" w:rsidRPr="00DB1A1E">
        <w:rPr>
          <w:rFonts w:ascii="Times New Roman" w:hAnsi="Times New Roman" w:cs="Times New Roman"/>
          <w:sz w:val="24"/>
          <w:szCs w:val="24"/>
        </w:rPr>
        <w:t>на АЕЦ Козлодуй за 2017-2021 г.</w:t>
      </w:r>
    </w:p>
    <w:p w:rsidR="00037C98" w:rsidRPr="00950BDF" w:rsidRDefault="00037C98" w:rsidP="00E44C19">
      <w:pPr>
        <w:spacing w:before="120" w:after="120" w:line="240" w:lineRule="auto"/>
        <w:jc w:val="both"/>
        <w:rPr>
          <w:rFonts w:ascii="Times New Roman" w:hAnsi="Times New Roman" w:cs="Times New Roman"/>
          <w:sz w:val="24"/>
          <w:szCs w:val="24"/>
        </w:rPr>
      </w:pPr>
    </w:p>
    <w:p w:rsidR="00950BDF" w:rsidRPr="00037C98" w:rsidRDefault="00950BDF" w:rsidP="00E44C19">
      <w:pPr>
        <w:spacing w:before="120" w:after="120" w:line="240" w:lineRule="auto"/>
        <w:jc w:val="both"/>
        <w:rPr>
          <w:rFonts w:ascii="Times New Roman" w:hAnsi="Times New Roman" w:cs="Times New Roman"/>
          <w:sz w:val="24"/>
          <w:szCs w:val="24"/>
          <w:u w:val="single"/>
        </w:rPr>
      </w:pPr>
      <w:r w:rsidRPr="00037C98">
        <w:rPr>
          <w:rFonts w:ascii="Times New Roman" w:hAnsi="Times New Roman" w:cs="Times New Roman"/>
          <w:sz w:val="24"/>
          <w:szCs w:val="24"/>
          <w:u w:val="single"/>
        </w:rPr>
        <w:t>Разходи за управление на радиоактивни отпадъци, за извеждане от експлоатация на ядрени съоръжения</w:t>
      </w:r>
      <w:r w:rsidR="00037C98">
        <w:rPr>
          <w:rFonts w:ascii="Times New Roman" w:hAnsi="Times New Roman" w:cs="Times New Roman"/>
          <w:sz w:val="24"/>
          <w:szCs w:val="24"/>
          <w:u w:val="single"/>
        </w:rPr>
        <w:t>,</w:t>
      </w:r>
      <w:r w:rsidRPr="00037C98">
        <w:rPr>
          <w:rFonts w:ascii="Times New Roman" w:hAnsi="Times New Roman" w:cs="Times New Roman"/>
          <w:sz w:val="24"/>
          <w:szCs w:val="24"/>
          <w:u w:val="single"/>
        </w:rPr>
        <w:t xml:space="preserve"> и за фонд СЕС</w:t>
      </w:r>
    </w:p>
    <w:p w:rsidR="00950BDF" w:rsidRPr="00950BDF" w:rsidRDefault="00950BDF" w:rsidP="00E44C19">
      <w:pPr>
        <w:spacing w:before="120" w:after="120" w:line="240" w:lineRule="auto"/>
        <w:jc w:val="both"/>
        <w:rPr>
          <w:rFonts w:ascii="Times New Roman" w:hAnsi="Times New Roman" w:cs="Times New Roman"/>
          <w:i/>
          <w:sz w:val="24"/>
          <w:szCs w:val="24"/>
        </w:rPr>
      </w:pPr>
      <w:r w:rsidRPr="00950BDF">
        <w:rPr>
          <w:rFonts w:ascii="Times New Roman" w:hAnsi="Times New Roman" w:cs="Times New Roman"/>
          <w:i/>
          <w:sz w:val="24"/>
          <w:szCs w:val="24"/>
        </w:rPr>
        <w:t>Разходи за управление на радиоактивни отпадъци</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Държавите, които експлоатират ядрени мощности, трябва да намерят дългосрочно и постоянно решение на управление на радиоактивните отпадъци от отработеното гориво. „Общоприета възможност е изграждането на дълбоко геоложко хранилище. The</w:t>
      </w:r>
      <w:r w:rsidR="00010DC4">
        <w:rPr>
          <w:rFonts w:ascii="Times New Roman" w:hAnsi="Times New Roman" w:cs="Times New Roman"/>
          <w:sz w:val="24"/>
          <w:szCs w:val="24"/>
        </w:rPr>
        <w:t xml:space="preserve"> </w:t>
      </w:r>
      <w:r w:rsidRPr="00950BDF">
        <w:rPr>
          <w:rFonts w:ascii="Times New Roman" w:hAnsi="Times New Roman" w:cs="Times New Roman"/>
          <w:sz w:val="24"/>
          <w:szCs w:val="24"/>
        </w:rPr>
        <w:t>Waste</w:t>
      </w:r>
      <w:r w:rsidR="00010DC4">
        <w:rPr>
          <w:rFonts w:ascii="Times New Roman" w:hAnsi="Times New Roman" w:cs="Times New Roman"/>
          <w:sz w:val="24"/>
          <w:szCs w:val="24"/>
        </w:rPr>
        <w:t xml:space="preserve"> </w:t>
      </w:r>
      <w:r w:rsidRPr="00950BDF">
        <w:rPr>
          <w:rFonts w:ascii="Times New Roman" w:hAnsi="Times New Roman" w:cs="Times New Roman"/>
          <w:sz w:val="24"/>
          <w:szCs w:val="24"/>
        </w:rPr>
        <w:t>Isolation</w:t>
      </w:r>
      <w:r w:rsidR="00010DC4">
        <w:rPr>
          <w:rFonts w:ascii="Times New Roman" w:hAnsi="Times New Roman" w:cs="Times New Roman"/>
          <w:sz w:val="24"/>
          <w:szCs w:val="24"/>
        </w:rPr>
        <w:t xml:space="preserve"> </w:t>
      </w:r>
      <w:r w:rsidRPr="00950BDF">
        <w:rPr>
          <w:rFonts w:ascii="Times New Roman" w:hAnsi="Times New Roman" w:cs="Times New Roman"/>
          <w:sz w:val="24"/>
          <w:szCs w:val="24"/>
        </w:rPr>
        <w:t>Pilot</w:t>
      </w:r>
      <w:r w:rsidR="00010DC4">
        <w:rPr>
          <w:rFonts w:ascii="Times New Roman" w:hAnsi="Times New Roman" w:cs="Times New Roman"/>
          <w:sz w:val="24"/>
          <w:szCs w:val="24"/>
        </w:rPr>
        <w:t xml:space="preserve"> </w:t>
      </w:r>
      <w:r w:rsidRPr="00950BDF">
        <w:rPr>
          <w:rFonts w:ascii="Times New Roman" w:hAnsi="Times New Roman" w:cs="Times New Roman"/>
          <w:sz w:val="24"/>
          <w:szCs w:val="24"/>
        </w:rPr>
        <w:t>Plant в Карлсбад, Ню Мексико, САЩ е единственото в света геоложко съор</w:t>
      </w:r>
      <w:r w:rsidR="00037C98">
        <w:rPr>
          <w:rFonts w:ascii="Times New Roman" w:hAnsi="Times New Roman" w:cs="Times New Roman"/>
          <w:sz w:val="24"/>
          <w:szCs w:val="24"/>
        </w:rPr>
        <w:t>ъжение за радиоактивни отпадъци</w:t>
      </w:r>
      <w:r w:rsidRPr="00950BDF">
        <w:rPr>
          <w:rFonts w:ascii="Times New Roman" w:hAnsi="Times New Roman" w:cs="Times New Roman"/>
          <w:sz w:val="24"/>
          <w:szCs w:val="24"/>
        </w:rPr>
        <w:t xml:space="preserve"> (в експлоатация от 1999 г. за депониране на отпадъци от Програмата на САЩ за ядрена отбрана). Все още никъде няма изградено гражданско хранилище.“</w:t>
      </w:r>
      <w:r w:rsidRPr="00950BDF">
        <w:rPr>
          <w:rStyle w:val="FootnoteReference"/>
          <w:rFonts w:ascii="Times New Roman" w:hAnsi="Times New Roman" w:cs="Times New Roman"/>
          <w:sz w:val="24"/>
          <w:szCs w:val="24"/>
        </w:rPr>
        <w:footnoteReference w:id="2"/>
      </w:r>
    </w:p>
    <w:p w:rsidR="00686B74" w:rsidRPr="00686B74" w:rsidRDefault="00686B74" w:rsidP="00686B74">
      <w:pPr>
        <w:spacing w:before="120" w:after="120" w:line="240" w:lineRule="auto"/>
        <w:jc w:val="both"/>
        <w:rPr>
          <w:rFonts w:ascii="Times New Roman" w:hAnsi="Times New Roman" w:cs="Times New Roman"/>
          <w:sz w:val="24"/>
          <w:szCs w:val="24"/>
        </w:rPr>
      </w:pPr>
      <w:r w:rsidRPr="00686B74">
        <w:rPr>
          <w:rFonts w:ascii="Times New Roman" w:hAnsi="Times New Roman" w:cs="Times New Roman"/>
          <w:sz w:val="24"/>
          <w:szCs w:val="24"/>
        </w:rPr>
        <w:lastRenderedPageBreak/>
        <w:t>В модела се предвиждат разходи за дъ</w:t>
      </w:r>
      <w:r w:rsidR="00010DC4">
        <w:rPr>
          <w:rFonts w:ascii="Times New Roman" w:hAnsi="Times New Roman" w:cs="Times New Roman"/>
          <w:sz w:val="24"/>
          <w:szCs w:val="24"/>
        </w:rPr>
        <w:t>л</w:t>
      </w:r>
      <w:r w:rsidRPr="00686B74">
        <w:rPr>
          <w:rFonts w:ascii="Times New Roman" w:hAnsi="Times New Roman" w:cs="Times New Roman"/>
          <w:sz w:val="24"/>
          <w:szCs w:val="24"/>
        </w:rPr>
        <w:t>боко</w:t>
      </w:r>
      <w:r w:rsidR="00010DC4">
        <w:rPr>
          <w:rFonts w:ascii="Times New Roman" w:hAnsi="Times New Roman" w:cs="Times New Roman"/>
          <w:sz w:val="24"/>
          <w:szCs w:val="24"/>
        </w:rPr>
        <w:t xml:space="preserve"> </w:t>
      </w:r>
      <w:r w:rsidRPr="00686B74">
        <w:rPr>
          <w:rFonts w:ascii="Times New Roman" w:hAnsi="Times New Roman" w:cs="Times New Roman"/>
          <w:sz w:val="24"/>
          <w:szCs w:val="24"/>
        </w:rPr>
        <w:t>геоложко съоръжение за погребване на високо актовни отпадъци, но и за средно активни дългоживущи отпадъци, които не се приемат в повърхностното Национално хранилище „Радиана“.</w:t>
      </w:r>
    </w:p>
    <w:p w:rsidR="00686B74" w:rsidRDefault="00686B74" w:rsidP="00686B74">
      <w:pPr>
        <w:spacing w:before="120" w:after="120" w:line="240" w:lineRule="auto"/>
        <w:jc w:val="both"/>
        <w:rPr>
          <w:rFonts w:ascii="Times New Roman" w:hAnsi="Times New Roman" w:cs="Times New Roman"/>
          <w:sz w:val="24"/>
          <w:szCs w:val="24"/>
        </w:rPr>
      </w:pPr>
      <w:r w:rsidRPr="00686B74">
        <w:rPr>
          <w:rFonts w:ascii="Times New Roman" w:hAnsi="Times New Roman" w:cs="Times New Roman"/>
          <w:sz w:val="24"/>
          <w:szCs w:val="24"/>
        </w:rPr>
        <w:t xml:space="preserve">В рамките на срока на експлоатация на блоковете ОЯГ се съхраняват на площадката от оператора, но след това отговорността се прехвърля на държавата, т.е. ако до тогава няма геоложко хранилище, то ще следва да се съхранява в междинно, каквито са плановете за ОЯГ и </w:t>
      </w:r>
      <w:r w:rsidR="00AB0E25" w:rsidRPr="00AB0E25">
        <w:rPr>
          <w:rFonts w:ascii="Times New Roman" w:hAnsi="Times New Roman" w:cs="Times New Roman"/>
          <w:sz w:val="24"/>
          <w:szCs w:val="24"/>
        </w:rPr>
        <w:t>Р</w:t>
      </w:r>
      <w:r w:rsidRPr="00AB0E25">
        <w:rPr>
          <w:rFonts w:ascii="Times New Roman" w:hAnsi="Times New Roman" w:cs="Times New Roman"/>
          <w:sz w:val="24"/>
          <w:szCs w:val="24"/>
        </w:rPr>
        <w:t>АО</w:t>
      </w:r>
      <w:r w:rsidRPr="00686B74">
        <w:rPr>
          <w:rFonts w:ascii="Times New Roman" w:hAnsi="Times New Roman" w:cs="Times New Roman"/>
          <w:sz w:val="24"/>
          <w:szCs w:val="24"/>
        </w:rPr>
        <w:t xml:space="preserve"> от АЕЦ Козлодуй. Практически, АЕЦ „Козлодуй“ няма и няма да има такива съоръжения, а те се планират като собственост на ДП </w:t>
      </w:r>
      <w:r>
        <w:rPr>
          <w:rFonts w:ascii="Times New Roman" w:hAnsi="Times New Roman" w:cs="Times New Roman"/>
          <w:sz w:val="24"/>
          <w:szCs w:val="24"/>
        </w:rPr>
        <w:t>„</w:t>
      </w:r>
      <w:r w:rsidRPr="00686B74">
        <w:rPr>
          <w:rFonts w:ascii="Times New Roman" w:hAnsi="Times New Roman" w:cs="Times New Roman"/>
          <w:sz w:val="24"/>
          <w:szCs w:val="24"/>
        </w:rPr>
        <w:t>РАО</w:t>
      </w:r>
      <w:r>
        <w:rPr>
          <w:rFonts w:ascii="Times New Roman" w:hAnsi="Times New Roman" w:cs="Times New Roman"/>
          <w:sz w:val="24"/>
          <w:szCs w:val="24"/>
        </w:rPr>
        <w:t>“</w:t>
      </w:r>
      <w:r w:rsidRPr="00686B74">
        <w:rPr>
          <w:rFonts w:ascii="Times New Roman" w:hAnsi="Times New Roman" w:cs="Times New Roman"/>
          <w:sz w:val="24"/>
          <w:szCs w:val="24"/>
        </w:rPr>
        <w:t>, т.е. на държавата.</w:t>
      </w:r>
    </w:p>
    <w:p w:rsid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Разходите за управление на радиоактивните отпадъци са изчислени при допускането, че в България ще се изгради дълбоко геоложко хранилище, чиято стойност към 2017 г. е 3 млрд. евро</w:t>
      </w:r>
      <w:r w:rsidRPr="00950BDF">
        <w:rPr>
          <w:rStyle w:val="FootnoteReference"/>
          <w:rFonts w:ascii="Times New Roman" w:hAnsi="Times New Roman" w:cs="Times New Roman"/>
          <w:sz w:val="24"/>
          <w:szCs w:val="24"/>
        </w:rPr>
        <w:footnoteReference w:id="3"/>
      </w:r>
      <w:r w:rsidRPr="00950BDF">
        <w:rPr>
          <w:rFonts w:ascii="Times New Roman" w:hAnsi="Times New Roman" w:cs="Times New Roman"/>
          <w:sz w:val="24"/>
          <w:szCs w:val="24"/>
        </w:rPr>
        <w:t xml:space="preserve">, като с това допускане се спазват най-високите изисквания по отношение на РАО. Тъй като в това хранилище ще се депонира отработено ядрено гориво от АЕЦ </w:t>
      </w:r>
      <w:r w:rsidR="00037C98">
        <w:rPr>
          <w:rFonts w:ascii="Times New Roman" w:hAnsi="Times New Roman" w:cs="Times New Roman"/>
          <w:sz w:val="24"/>
          <w:szCs w:val="24"/>
        </w:rPr>
        <w:t>„</w:t>
      </w:r>
      <w:r w:rsidRPr="00950BDF">
        <w:rPr>
          <w:rFonts w:ascii="Times New Roman" w:hAnsi="Times New Roman" w:cs="Times New Roman"/>
          <w:sz w:val="24"/>
          <w:szCs w:val="24"/>
        </w:rPr>
        <w:t>Козлодуй</w:t>
      </w:r>
      <w:r w:rsidR="00037C98">
        <w:rPr>
          <w:rFonts w:ascii="Times New Roman" w:hAnsi="Times New Roman" w:cs="Times New Roman"/>
          <w:sz w:val="24"/>
          <w:szCs w:val="24"/>
        </w:rPr>
        <w:t>”</w:t>
      </w:r>
      <w:r w:rsidRPr="00950BDF">
        <w:rPr>
          <w:rFonts w:ascii="Times New Roman" w:hAnsi="Times New Roman" w:cs="Times New Roman"/>
          <w:sz w:val="24"/>
          <w:szCs w:val="24"/>
        </w:rPr>
        <w:t xml:space="preserve"> и АЕЦ </w:t>
      </w:r>
      <w:r w:rsidR="00037C98">
        <w:rPr>
          <w:rFonts w:ascii="Times New Roman" w:hAnsi="Times New Roman" w:cs="Times New Roman"/>
          <w:sz w:val="24"/>
          <w:szCs w:val="24"/>
        </w:rPr>
        <w:t>„</w:t>
      </w:r>
      <w:r w:rsidRPr="00950BDF">
        <w:rPr>
          <w:rFonts w:ascii="Times New Roman" w:hAnsi="Times New Roman" w:cs="Times New Roman"/>
          <w:sz w:val="24"/>
          <w:szCs w:val="24"/>
        </w:rPr>
        <w:t>Белене</w:t>
      </w:r>
      <w:r w:rsidR="00037C98">
        <w:rPr>
          <w:rFonts w:ascii="Times New Roman" w:hAnsi="Times New Roman" w:cs="Times New Roman"/>
          <w:sz w:val="24"/>
          <w:szCs w:val="24"/>
        </w:rPr>
        <w:t>”</w:t>
      </w:r>
      <w:r w:rsidRPr="00950BDF">
        <w:rPr>
          <w:rFonts w:ascii="Times New Roman" w:hAnsi="Times New Roman" w:cs="Times New Roman"/>
          <w:sz w:val="24"/>
          <w:szCs w:val="24"/>
        </w:rPr>
        <w:t xml:space="preserve">, които имат сходен капацитет, е направено допускането, че всяка от централите трябва да осигури половината от необходимите средства </w:t>
      </w:r>
      <w:r w:rsidR="00037C98">
        <w:rPr>
          <w:rFonts w:ascii="Times New Roman" w:hAnsi="Times New Roman" w:cs="Times New Roman"/>
          <w:sz w:val="24"/>
          <w:szCs w:val="24"/>
        </w:rPr>
        <w:t>(</w:t>
      </w:r>
      <w:r w:rsidRPr="00950BDF">
        <w:rPr>
          <w:rFonts w:ascii="Times New Roman" w:hAnsi="Times New Roman" w:cs="Times New Roman"/>
          <w:sz w:val="24"/>
          <w:szCs w:val="24"/>
        </w:rPr>
        <w:t>по 1</w:t>
      </w:r>
      <w:r w:rsidR="00010DC4">
        <w:rPr>
          <w:rFonts w:ascii="Times New Roman" w:hAnsi="Times New Roman" w:cs="Times New Roman"/>
          <w:sz w:val="24"/>
          <w:szCs w:val="24"/>
        </w:rPr>
        <w:t>.</w:t>
      </w:r>
      <w:r w:rsidRPr="00950BDF">
        <w:rPr>
          <w:rFonts w:ascii="Times New Roman" w:hAnsi="Times New Roman" w:cs="Times New Roman"/>
          <w:sz w:val="24"/>
          <w:szCs w:val="24"/>
        </w:rPr>
        <w:t>5 млрд. евро</w:t>
      </w:r>
      <w:r w:rsidR="00037C98">
        <w:rPr>
          <w:rFonts w:ascii="Times New Roman" w:hAnsi="Times New Roman" w:cs="Times New Roman"/>
          <w:sz w:val="24"/>
          <w:szCs w:val="24"/>
        </w:rPr>
        <w:t>)</w:t>
      </w:r>
      <w:r w:rsidRPr="00950BDF">
        <w:rPr>
          <w:rFonts w:ascii="Times New Roman" w:hAnsi="Times New Roman" w:cs="Times New Roman"/>
          <w:sz w:val="24"/>
          <w:szCs w:val="24"/>
        </w:rPr>
        <w:t>. Тази сума е завишена с 10%, за да се покрият разходите по погребването на ниско и средно активните радиоактивни отпадъци. Тези разходи са ескалирани до 2087 г. и е изчислен размерът на средствата, които ще трябва да бъдат натрупани към тази година. Общият размер на тези средства ще се формира от два компонента – натрупаните отчисления за управление на РАО и натрупаните лихви по тях. Работи се с допускането, че отчисленията за РАО ще се набират годишно на база на произведеното количество електроенергия и ще се натрупват в специален фонд РАО</w:t>
      </w:r>
      <w:r w:rsidR="005205EA">
        <w:rPr>
          <w:rFonts w:ascii="Times New Roman" w:hAnsi="Times New Roman" w:cs="Times New Roman"/>
          <w:sz w:val="24"/>
          <w:szCs w:val="24"/>
        </w:rPr>
        <w:t>,</w:t>
      </w:r>
      <w:r w:rsidRPr="00950BDF">
        <w:rPr>
          <w:rFonts w:ascii="Times New Roman" w:hAnsi="Times New Roman" w:cs="Times New Roman"/>
          <w:sz w:val="24"/>
          <w:szCs w:val="24"/>
        </w:rPr>
        <w:t xml:space="preserve"> като върху натрупаните средства ще се начислява годишна лихва в размер на 3% на годишна база. Допускането за размера на лихвата е направено с оглед прилаганата средногодишна инфлация за ЕС в размер на 1</w:t>
      </w:r>
      <w:r w:rsidR="002A0227">
        <w:rPr>
          <w:rFonts w:ascii="Times New Roman" w:hAnsi="Times New Roman" w:cs="Times New Roman"/>
          <w:sz w:val="24"/>
          <w:szCs w:val="24"/>
        </w:rPr>
        <w:t>.</w:t>
      </w:r>
      <w:r w:rsidRPr="00950BDF">
        <w:rPr>
          <w:rFonts w:ascii="Times New Roman" w:hAnsi="Times New Roman" w:cs="Times New Roman"/>
          <w:sz w:val="24"/>
          <w:szCs w:val="24"/>
        </w:rPr>
        <w:t>8% за целия период на проекта.</w:t>
      </w:r>
    </w:p>
    <w:p w:rsidR="00233DB8" w:rsidRPr="00950BDF" w:rsidRDefault="00233DB8" w:rsidP="00E44C19">
      <w:pPr>
        <w:spacing w:before="120" w:after="120" w:line="240" w:lineRule="auto"/>
        <w:jc w:val="both"/>
        <w:rPr>
          <w:rFonts w:ascii="Times New Roman" w:hAnsi="Times New Roman" w:cs="Times New Roman"/>
          <w:sz w:val="24"/>
          <w:szCs w:val="24"/>
        </w:rPr>
      </w:pPr>
    </w:p>
    <w:p w:rsidR="00950BDF" w:rsidRPr="00950BDF" w:rsidRDefault="00950BDF" w:rsidP="00E44C19">
      <w:pPr>
        <w:spacing w:before="120" w:after="120" w:line="240" w:lineRule="auto"/>
        <w:jc w:val="both"/>
        <w:rPr>
          <w:rFonts w:ascii="Times New Roman" w:hAnsi="Times New Roman" w:cs="Times New Roman"/>
          <w:i/>
          <w:sz w:val="24"/>
          <w:szCs w:val="24"/>
        </w:rPr>
      </w:pPr>
      <w:r w:rsidRPr="00950BDF">
        <w:rPr>
          <w:rFonts w:ascii="Times New Roman" w:hAnsi="Times New Roman" w:cs="Times New Roman"/>
          <w:i/>
          <w:sz w:val="24"/>
          <w:szCs w:val="24"/>
        </w:rPr>
        <w:t xml:space="preserve">Разходи за извеждане от експлоатация на ядрени съоръжения </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Разходите за извеждане от експлоатация на ядрени съоръжения (ИЕЯС) са изчислени съгласно разработка на Европейската комисия „</w:t>
      </w:r>
      <w:r w:rsidR="005205EA" w:rsidRPr="005205EA">
        <w:rPr>
          <w:rFonts w:ascii="Times New Roman" w:hAnsi="Times New Roman" w:cs="Times New Roman"/>
          <w:caps/>
          <w:sz w:val="24"/>
          <w:szCs w:val="20"/>
        </w:rPr>
        <w:t>c</w:t>
      </w:r>
      <w:r w:rsidR="005205EA" w:rsidRPr="005205EA">
        <w:rPr>
          <w:rFonts w:ascii="Times New Roman" w:hAnsi="Times New Roman" w:cs="Times New Roman"/>
          <w:sz w:val="24"/>
          <w:szCs w:val="20"/>
        </w:rPr>
        <w:t>ommission</w:t>
      </w:r>
      <w:r w:rsidR="00EA6281">
        <w:rPr>
          <w:rFonts w:ascii="Times New Roman" w:hAnsi="Times New Roman" w:cs="Times New Roman"/>
          <w:sz w:val="24"/>
          <w:szCs w:val="20"/>
        </w:rPr>
        <w:t xml:space="preserve"> </w:t>
      </w:r>
      <w:r w:rsidR="005205EA" w:rsidRPr="005205EA">
        <w:rPr>
          <w:rFonts w:ascii="Times New Roman" w:hAnsi="Times New Roman" w:cs="Times New Roman"/>
          <w:caps/>
          <w:sz w:val="24"/>
          <w:szCs w:val="20"/>
        </w:rPr>
        <w:t>s</w:t>
      </w:r>
      <w:r w:rsidR="005205EA" w:rsidRPr="005205EA">
        <w:rPr>
          <w:rFonts w:ascii="Times New Roman" w:hAnsi="Times New Roman" w:cs="Times New Roman"/>
          <w:sz w:val="24"/>
          <w:szCs w:val="20"/>
        </w:rPr>
        <w:t>taff</w:t>
      </w:r>
      <w:r w:rsidR="00EA6281">
        <w:rPr>
          <w:rFonts w:ascii="Times New Roman" w:hAnsi="Times New Roman" w:cs="Times New Roman"/>
          <w:sz w:val="24"/>
          <w:szCs w:val="20"/>
        </w:rPr>
        <w:t xml:space="preserve"> </w:t>
      </w:r>
      <w:r w:rsidR="005205EA" w:rsidRPr="005205EA">
        <w:rPr>
          <w:rFonts w:ascii="Times New Roman" w:hAnsi="Times New Roman" w:cs="Times New Roman"/>
          <w:caps/>
          <w:sz w:val="24"/>
          <w:szCs w:val="20"/>
        </w:rPr>
        <w:t>w</w:t>
      </w:r>
      <w:r w:rsidR="005205EA" w:rsidRPr="005205EA">
        <w:rPr>
          <w:rFonts w:ascii="Times New Roman" w:hAnsi="Times New Roman" w:cs="Times New Roman"/>
          <w:sz w:val="24"/>
          <w:szCs w:val="20"/>
        </w:rPr>
        <w:t>orking</w:t>
      </w:r>
      <w:r w:rsidR="00EA6281">
        <w:rPr>
          <w:rFonts w:ascii="Times New Roman" w:hAnsi="Times New Roman" w:cs="Times New Roman"/>
          <w:sz w:val="24"/>
          <w:szCs w:val="20"/>
        </w:rPr>
        <w:t xml:space="preserve"> </w:t>
      </w:r>
      <w:r w:rsidR="005205EA" w:rsidRPr="005205EA">
        <w:rPr>
          <w:rFonts w:ascii="Times New Roman" w:hAnsi="Times New Roman" w:cs="Times New Roman"/>
          <w:caps/>
          <w:sz w:val="24"/>
          <w:szCs w:val="20"/>
        </w:rPr>
        <w:t>d</w:t>
      </w:r>
      <w:r w:rsidR="005205EA" w:rsidRPr="005205EA">
        <w:rPr>
          <w:rFonts w:ascii="Times New Roman" w:hAnsi="Times New Roman" w:cs="Times New Roman"/>
          <w:sz w:val="24"/>
          <w:szCs w:val="20"/>
        </w:rPr>
        <w:t>ocument</w:t>
      </w:r>
      <w:r w:rsidR="00EA6281">
        <w:rPr>
          <w:rFonts w:ascii="Times New Roman" w:hAnsi="Times New Roman" w:cs="Times New Roman"/>
          <w:sz w:val="24"/>
          <w:szCs w:val="20"/>
        </w:rPr>
        <w:t xml:space="preserve"> </w:t>
      </w:r>
      <w:r w:rsidR="005205EA">
        <w:rPr>
          <w:rFonts w:ascii="Times New Roman" w:hAnsi="Times New Roman" w:cs="Times New Roman"/>
          <w:sz w:val="24"/>
          <w:szCs w:val="24"/>
          <w:lang w:val="en-US"/>
        </w:rPr>
        <w:t>a</w:t>
      </w:r>
      <w:r w:rsidRPr="00950BDF">
        <w:rPr>
          <w:rFonts w:ascii="Times New Roman" w:hAnsi="Times New Roman" w:cs="Times New Roman"/>
          <w:sz w:val="24"/>
          <w:szCs w:val="24"/>
        </w:rPr>
        <w:t>ccompanying</w:t>
      </w:r>
      <w:r w:rsidR="00EA6281">
        <w:rPr>
          <w:rFonts w:ascii="Times New Roman" w:hAnsi="Times New Roman" w:cs="Times New Roman"/>
          <w:sz w:val="24"/>
          <w:szCs w:val="24"/>
        </w:rPr>
        <w:t xml:space="preserve"> </w:t>
      </w:r>
      <w:r w:rsidRPr="00950BDF">
        <w:rPr>
          <w:rFonts w:ascii="Times New Roman" w:hAnsi="Times New Roman" w:cs="Times New Roman"/>
          <w:sz w:val="24"/>
          <w:szCs w:val="24"/>
        </w:rPr>
        <w:t>the</w:t>
      </w:r>
      <w:r w:rsidR="00EA6281">
        <w:rPr>
          <w:rFonts w:ascii="Times New Roman" w:hAnsi="Times New Roman" w:cs="Times New Roman"/>
          <w:sz w:val="24"/>
          <w:szCs w:val="24"/>
        </w:rPr>
        <w:t xml:space="preserve"> </w:t>
      </w:r>
      <w:r w:rsidRPr="00950BDF">
        <w:rPr>
          <w:rFonts w:ascii="Times New Roman" w:hAnsi="Times New Roman" w:cs="Times New Roman"/>
          <w:sz w:val="24"/>
          <w:szCs w:val="24"/>
        </w:rPr>
        <w:t>document</w:t>
      </w:r>
      <w:r w:rsidR="00EA6281">
        <w:rPr>
          <w:rFonts w:ascii="Times New Roman" w:hAnsi="Times New Roman" w:cs="Times New Roman"/>
          <w:sz w:val="24"/>
          <w:szCs w:val="24"/>
        </w:rPr>
        <w:t xml:space="preserve"> </w:t>
      </w:r>
      <w:r w:rsidRPr="00950BDF">
        <w:rPr>
          <w:rFonts w:ascii="Times New Roman" w:hAnsi="Times New Roman" w:cs="Times New Roman"/>
          <w:sz w:val="24"/>
          <w:szCs w:val="24"/>
        </w:rPr>
        <w:t>Communication</w:t>
      </w:r>
      <w:r w:rsidR="00EA6281">
        <w:rPr>
          <w:rFonts w:ascii="Times New Roman" w:hAnsi="Times New Roman" w:cs="Times New Roman"/>
          <w:sz w:val="24"/>
          <w:szCs w:val="24"/>
        </w:rPr>
        <w:t xml:space="preserve"> </w:t>
      </w:r>
      <w:r w:rsidRPr="00950BDF">
        <w:rPr>
          <w:rFonts w:ascii="Times New Roman" w:hAnsi="Times New Roman" w:cs="Times New Roman"/>
          <w:sz w:val="24"/>
          <w:szCs w:val="24"/>
        </w:rPr>
        <w:t>from</w:t>
      </w:r>
      <w:r w:rsidR="00EA6281">
        <w:rPr>
          <w:rFonts w:ascii="Times New Roman" w:hAnsi="Times New Roman" w:cs="Times New Roman"/>
          <w:sz w:val="24"/>
          <w:szCs w:val="24"/>
        </w:rPr>
        <w:t xml:space="preserve"> </w:t>
      </w:r>
      <w:r w:rsidRPr="00950BDF">
        <w:rPr>
          <w:rFonts w:ascii="Times New Roman" w:hAnsi="Times New Roman" w:cs="Times New Roman"/>
          <w:sz w:val="24"/>
          <w:szCs w:val="24"/>
        </w:rPr>
        <w:t>the</w:t>
      </w:r>
      <w:r w:rsidR="00EA6281">
        <w:rPr>
          <w:rFonts w:ascii="Times New Roman" w:hAnsi="Times New Roman" w:cs="Times New Roman"/>
          <w:sz w:val="24"/>
          <w:szCs w:val="24"/>
        </w:rPr>
        <w:t xml:space="preserve"> </w:t>
      </w:r>
      <w:r w:rsidRPr="00950BDF">
        <w:rPr>
          <w:rFonts w:ascii="Times New Roman" w:hAnsi="Times New Roman" w:cs="Times New Roman"/>
          <w:sz w:val="24"/>
          <w:szCs w:val="24"/>
        </w:rPr>
        <w:t>Commission</w:t>
      </w:r>
      <w:r w:rsidR="00EA6281">
        <w:rPr>
          <w:rFonts w:ascii="Times New Roman" w:hAnsi="Times New Roman" w:cs="Times New Roman"/>
          <w:sz w:val="24"/>
          <w:szCs w:val="24"/>
        </w:rPr>
        <w:t xml:space="preserve"> </w:t>
      </w:r>
      <w:r w:rsidRPr="00950BDF">
        <w:rPr>
          <w:rFonts w:ascii="Times New Roman" w:hAnsi="Times New Roman" w:cs="Times New Roman"/>
          <w:sz w:val="24"/>
          <w:szCs w:val="24"/>
        </w:rPr>
        <w:t>Nuclear</w:t>
      </w:r>
      <w:r w:rsidR="00EA6281">
        <w:rPr>
          <w:rFonts w:ascii="Times New Roman" w:hAnsi="Times New Roman" w:cs="Times New Roman"/>
          <w:sz w:val="24"/>
          <w:szCs w:val="24"/>
        </w:rPr>
        <w:t xml:space="preserve"> </w:t>
      </w:r>
      <w:r w:rsidRPr="00950BDF">
        <w:rPr>
          <w:rFonts w:ascii="Times New Roman" w:hAnsi="Times New Roman" w:cs="Times New Roman"/>
          <w:sz w:val="24"/>
          <w:szCs w:val="24"/>
        </w:rPr>
        <w:t>Illustrative</w:t>
      </w:r>
      <w:r w:rsidR="00EA6281">
        <w:rPr>
          <w:rFonts w:ascii="Times New Roman" w:hAnsi="Times New Roman" w:cs="Times New Roman"/>
          <w:sz w:val="24"/>
          <w:szCs w:val="24"/>
        </w:rPr>
        <w:t xml:space="preserve"> </w:t>
      </w:r>
      <w:r w:rsidRPr="00950BDF">
        <w:rPr>
          <w:rFonts w:ascii="Times New Roman" w:hAnsi="Times New Roman" w:cs="Times New Roman"/>
          <w:sz w:val="24"/>
          <w:szCs w:val="24"/>
        </w:rPr>
        <w:t>Programme</w:t>
      </w:r>
      <w:r w:rsidR="00EA6281">
        <w:rPr>
          <w:rFonts w:ascii="Times New Roman" w:hAnsi="Times New Roman" w:cs="Times New Roman"/>
          <w:sz w:val="24"/>
          <w:szCs w:val="24"/>
        </w:rPr>
        <w:t xml:space="preserve"> </w:t>
      </w:r>
      <w:r w:rsidRPr="00950BDF">
        <w:rPr>
          <w:rFonts w:ascii="Times New Roman" w:hAnsi="Times New Roman" w:cs="Times New Roman"/>
          <w:sz w:val="24"/>
          <w:szCs w:val="24"/>
        </w:rPr>
        <w:t>Presented</w:t>
      </w:r>
      <w:r w:rsidR="00EA6281">
        <w:rPr>
          <w:rFonts w:ascii="Times New Roman" w:hAnsi="Times New Roman" w:cs="Times New Roman"/>
          <w:sz w:val="24"/>
          <w:szCs w:val="24"/>
        </w:rPr>
        <w:t xml:space="preserve"> </w:t>
      </w:r>
      <w:r w:rsidRPr="00950BDF">
        <w:rPr>
          <w:rFonts w:ascii="Times New Roman" w:hAnsi="Times New Roman" w:cs="Times New Roman"/>
          <w:sz w:val="24"/>
          <w:szCs w:val="24"/>
        </w:rPr>
        <w:t>under</w:t>
      </w:r>
      <w:r w:rsidR="00EA6281">
        <w:rPr>
          <w:rFonts w:ascii="Times New Roman" w:hAnsi="Times New Roman" w:cs="Times New Roman"/>
          <w:sz w:val="24"/>
          <w:szCs w:val="24"/>
        </w:rPr>
        <w:t xml:space="preserve"> </w:t>
      </w:r>
      <w:r w:rsidRPr="00950BDF">
        <w:rPr>
          <w:rFonts w:ascii="Times New Roman" w:hAnsi="Times New Roman" w:cs="Times New Roman"/>
          <w:sz w:val="24"/>
          <w:szCs w:val="24"/>
        </w:rPr>
        <w:t>Article 40 of</w:t>
      </w:r>
      <w:r w:rsidR="00EA6281">
        <w:rPr>
          <w:rFonts w:ascii="Times New Roman" w:hAnsi="Times New Roman" w:cs="Times New Roman"/>
          <w:sz w:val="24"/>
          <w:szCs w:val="24"/>
        </w:rPr>
        <w:t xml:space="preserve"> </w:t>
      </w:r>
      <w:r w:rsidRPr="00950BDF">
        <w:rPr>
          <w:rFonts w:ascii="Times New Roman" w:hAnsi="Times New Roman" w:cs="Times New Roman"/>
          <w:sz w:val="24"/>
          <w:szCs w:val="24"/>
        </w:rPr>
        <w:t>the</w:t>
      </w:r>
      <w:r w:rsidR="00EA6281">
        <w:rPr>
          <w:rFonts w:ascii="Times New Roman" w:hAnsi="Times New Roman" w:cs="Times New Roman"/>
          <w:sz w:val="24"/>
          <w:szCs w:val="24"/>
        </w:rPr>
        <w:t xml:space="preserve"> </w:t>
      </w:r>
      <w:r w:rsidRPr="00950BDF">
        <w:rPr>
          <w:rFonts w:ascii="Times New Roman" w:hAnsi="Times New Roman" w:cs="Times New Roman"/>
          <w:sz w:val="24"/>
          <w:szCs w:val="24"/>
        </w:rPr>
        <w:t>Euratom</w:t>
      </w:r>
      <w:r w:rsidR="00EA6281">
        <w:rPr>
          <w:rFonts w:ascii="Times New Roman" w:hAnsi="Times New Roman" w:cs="Times New Roman"/>
          <w:sz w:val="24"/>
          <w:szCs w:val="24"/>
        </w:rPr>
        <w:t xml:space="preserve"> </w:t>
      </w:r>
      <w:r w:rsidRPr="00950BDF">
        <w:rPr>
          <w:rFonts w:ascii="Times New Roman" w:hAnsi="Times New Roman" w:cs="Times New Roman"/>
          <w:sz w:val="24"/>
          <w:szCs w:val="24"/>
        </w:rPr>
        <w:t>Treaty</w:t>
      </w:r>
      <w:r w:rsidR="00EA6281">
        <w:rPr>
          <w:rFonts w:ascii="Times New Roman" w:hAnsi="Times New Roman" w:cs="Times New Roman"/>
          <w:sz w:val="24"/>
          <w:szCs w:val="24"/>
        </w:rPr>
        <w:t xml:space="preserve"> </w:t>
      </w:r>
      <w:r w:rsidR="005205EA">
        <w:rPr>
          <w:rFonts w:ascii="Times New Roman" w:hAnsi="Times New Roman" w:cs="Times New Roman"/>
          <w:sz w:val="24"/>
          <w:szCs w:val="24"/>
        </w:rPr>
        <w:t>–</w:t>
      </w:r>
      <w:r w:rsidR="00EA6281">
        <w:rPr>
          <w:rFonts w:ascii="Times New Roman" w:hAnsi="Times New Roman" w:cs="Times New Roman"/>
          <w:sz w:val="24"/>
          <w:szCs w:val="24"/>
        </w:rPr>
        <w:t xml:space="preserve"> </w:t>
      </w:r>
      <w:r w:rsidRPr="00950BDF">
        <w:rPr>
          <w:rFonts w:ascii="Times New Roman" w:hAnsi="Times New Roman" w:cs="Times New Roman"/>
          <w:sz w:val="24"/>
          <w:szCs w:val="24"/>
        </w:rPr>
        <w:t>Final (after</w:t>
      </w:r>
      <w:r w:rsidR="00EA6281">
        <w:rPr>
          <w:rFonts w:ascii="Times New Roman" w:hAnsi="Times New Roman" w:cs="Times New Roman"/>
          <w:sz w:val="24"/>
          <w:szCs w:val="24"/>
        </w:rPr>
        <w:t xml:space="preserve"> </w:t>
      </w:r>
      <w:r w:rsidRPr="00950BDF">
        <w:rPr>
          <w:rFonts w:ascii="Times New Roman" w:hAnsi="Times New Roman" w:cs="Times New Roman"/>
          <w:sz w:val="24"/>
          <w:szCs w:val="24"/>
        </w:rPr>
        <w:t>opinion</w:t>
      </w:r>
      <w:r w:rsidR="00EA6281">
        <w:rPr>
          <w:rFonts w:ascii="Times New Roman" w:hAnsi="Times New Roman" w:cs="Times New Roman"/>
          <w:sz w:val="24"/>
          <w:szCs w:val="24"/>
        </w:rPr>
        <w:t xml:space="preserve"> </w:t>
      </w:r>
      <w:r w:rsidRPr="00950BDF">
        <w:rPr>
          <w:rFonts w:ascii="Times New Roman" w:hAnsi="Times New Roman" w:cs="Times New Roman"/>
          <w:sz w:val="24"/>
          <w:szCs w:val="24"/>
        </w:rPr>
        <w:t>of</w:t>
      </w:r>
      <w:r w:rsidR="00EA6281">
        <w:rPr>
          <w:rFonts w:ascii="Times New Roman" w:hAnsi="Times New Roman" w:cs="Times New Roman"/>
          <w:sz w:val="24"/>
          <w:szCs w:val="24"/>
        </w:rPr>
        <w:t xml:space="preserve"> </w:t>
      </w:r>
      <w:r w:rsidRPr="00950BDF">
        <w:rPr>
          <w:rFonts w:ascii="Times New Roman" w:hAnsi="Times New Roman" w:cs="Times New Roman"/>
          <w:sz w:val="24"/>
          <w:szCs w:val="24"/>
        </w:rPr>
        <w:t>EESC){COM(2017) 237 final}, Brussels, 2017“, в ко</w:t>
      </w:r>
      <w:r w:rsidR="005205EA">
        <w:rPr>
          <w:rFonts w:ascii="Times New Roman" w:hAnsi="Times New Roman" w:cs="Times New Roman"/>
          <w:sz w:val="24"/>
          <w:szCs w:val="24"/>
        </w:rPr>
        <w:t>я</w:t>
      </w:r>
      <w:r w:rsidRPr="00950BDF">
        <w:rPr>
          <w:rFonts w:ascii="Times New Roman" w:hAnsi="Times New Roman" w:cs="Times New Roman"/>
          <w:sz w:val="24"/>
          <w:szCs w:val="24"/>
        </w:rPr>
        <w:t xml:space="preserve">то се съдържат оценки за разходите за извеждане от експлоатация на всички страни-членки, които имат ядрени мощности. </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Работният документ е разработен, за да подпомогне анализите за Nuclear</w:t>
      </w:r>
      <w:r w:rsidR="00EA6281">
        <w:rPr>
          <w:rFonts w:ascii="Times New Roman" w:hAnsi="Times New Roman" w:cs="Times New Roman"/>
          <w:sz w:val="24"/>
          <w:szCs w:val="24"/>
        </w:rPr>
        <w:t xml:space="preserve"> </w:t>
      </w:r>
      <w:r w:rsidRPr="00950BDF">
        <w:rPr>
          <w:rFonts w:ascii="Times New Roman" w:hAnsi="Times New Roman" w:cs="Times New Roman"/>
          <w:sz w:val="24"/>
          <w:szCs w:val="24"/>
        </w:rPr>
        <w:t>Illustrative</w:t>
      </w:r>
      <w:r w:rsidR="00EA6281">
        <w:rPr>
          <w:rFonts w:ascii="Times New Roman" w:hAnsi="Times New Roman" w:cs="Times New Roman"/>
          <w:sz w:val="24"/>
          <w:szCs w:val="24"/>
        </w:rPr>
        <w:t xml:space="preserve"> </w:t>
      </w:r>
      <w:r w:rsidRPr="00950BDF">
        <w:rPr>
          <w:rFonts w:ascii="Times New Roman" w:hAnsi="Times New Roman" w:cs="Times New Roman"/>
          <w:sz w:val="24"/>
          <w:szCs w:val="24"/>
        </w:rPr>
        <w:t>Programme</w:t>
      </w:r>
      <w:r w:rsidR="00EA6281">
        <w:rPr>
          <w:rFonts w:ascii="Times New Roman" w:hAnsi="Times New Roman" w:cs="Times New Roman"/>
          <w:sz w:val="24"/>
          <w:szCs w:val="24"/>
        </w:rPr>
        <w:t xml:space="preserve"> </w:t>
      </w:r>
      <w:r w:rsidRPr="00950BDF">
        <w:rPr>
          <w:rFonts w:ascii="Times New Roman" w:hAnsi="Times New Roman" w:cs="Times New Roman"/>
          <w:sz w:val="24"/>
          <w:szCs w:val="24"/>
        </w:rPr>
        <w:t>of</w:t>
      </w:r>
      <w:r w:rsidR="00EA6281">
        <w:rPr>
          <w:rFonts w:ascii="Times New Roman" w:hAnsi="Times New Roman" w:cs="Times New Roman"/>
          <w:sz w:val="24"/>
          <w:szCs w:val="24"/>
        </w:rPr>
        <w:t xml:space="preserve"> </w:t>
      </w:r>
      <w:r w:rsidRPr="00950BDF">
        <w:rPr>
          <w:rFonts w:ascii="Times New Roman" w:hAnsi="Times New Roman" w:cs="Times New Roman"/>
          <w:sz w:val="24"/>
          <w:szCs w:val="24"/>
        </w:rPr>
        <w:t>the</w:t>
      </w:r>
      <w:r w:rsidR="00EA6281">
        <w:rPr>
          <w:rFonts w:ascii="Times New Roman" w:hAnsi="Times New Roman" w:cs="Times New Roman"/>
          <w:sz w:val="24"/>
          <w:szCs w:val="24"/>
        </w:rPr>
        <w:t xml:space="preserve"> </w:t>
      </w:r>
      <w:r w:rsidRPr="00950BDF">
        <w:rPr>
          <w:rFonts w:ascii="Times New Roman" w:hAnsi="Times New Roman" w:cs="Times New Roman"/>
          <w:sz w:val="24"/>
          <w:szCs w:val="24"/>
        </w:rPr>
        <w:t xml:space="preserve">Commission (PINC) и данните са събирани от множество източници, вкл. от страните-членки и операторите на ядрени съоръжения чрез въпросници. </w:t>
      </w:r>
    </w:p>
    <w:p w:rsid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За България оценката възлиза на 0</w:t>
      </w:r>
      <w:r w:rsidR="005205EA">
        <w:rPr>
          <w:rFonts w:ascii="Times New Roman" w:hAnsi="Times New Roman" w:cs="Times New Roman"/>
          <w:sz w:val="24"/>
          <w:szCs w:val="24"/>
        </w:rPr>
        <w:t>.</w:t>
      </w:r>
      <w:r w:rsidRPr="00950BDF">
        <w:rPr>
          <w:rFonts w:ascii="Times New Roman" w:hAnsi="Times New Roman" w:cs="Times New Roman"/>
          <w:sz w:val="24"/>
          <w:szCs w:val="24"/>
        </w:rPr>
        <w:t>6 млрд. евро на 1000 mW към 2017 г. Въз основа на ескалация на разходите до 2087 г. е изчислен размерът на средствата, които ще трябва да бъдат натрупани към тази година. Общият размер на тези средства ще се формира от два компонента – натрупаните отчисления за ИЕЯС и натрупаните лихви по тях. Работи се с допускането, че отчисленията за ИЕЯС ще се набират годишно на база на произведеното количество електроенергия и те ще се натрупват в специален фонд ИЕЯС</w:t>
      </w:r>
      <w:r w:rsidR="005205EA">
        <w:rPr>
          <w:rFonts w:ascii="Times New Roman" w:hAnsi="Times New Roman" w:cs="Times New Roman"/>
          <w:sz w:val="24"/>
          <w:szCs w:val="24"/>
        </w:rPr>
        <w:t>,</w:t>
      </w:r>
      <w:r w:rsidRPr="00950BDF">
        <w:rPr>
          <w:rFonts w:ascii="Times New Roman" w:hAnsi="Times New Roman" w:cs="Times New Roman"/>
          <w:sz w:val="24"/>
          <w:szCs w:val="24"/>
        </w:rPr>
        <w:t xml:space="preserve"> като върху натрупаните средства ще се начислява годишна лихва в размер на 3% на годишна база. Допускането за размера на лихвата е направено с оглед </w:t>
      </w:r>
      <w:r w:rsidRPr="00950BDF">
        <w:rPr>
          <w:rFonts w:ascii="Times New Roman" w:hAnsi="Times New Roman" w:cs="Times New Roman"/>
          <w:sz w:val="24"/>
          <w:szCs w:val="24"/>
        </w:rPr>
        <w:lastRenderedPageBreak/>
        <w:t>прилаганата средногодишна инфлация за ЕС в размер на 1</w:t>
      </w:r>
      <w:r w:rsidR="002A0227">
        <w:rPr>
          <w:rFonts w:ascii="Times New Roman" w:hAnsi="Times New Roman" w:cs="Times New Roman"/>
          <w:sz w:val="24"/>
          <w:szCs w:val="24"/>
        </w:rPr>
        <w:t>.</w:t>
      </w:r>
      <w:r w:rsidRPr="00950BDF">
        <w:rPr>
          <w:rFonts w:ascii="Times New Roman" w:hAnsi="Times New Roman" w:cs="Times New Roman"/>
          <w:sz w:val="24"/>
          <w:szCs w:val="24"/>
        </w:rPr>
        <w:t>8% за целия период на проекта.</w:t>
      </w:r>
    </w:p>
    <w:p w:rsidR="00233DB8" w:rsidRDefault="00233DB8" w:rsidP="00E44C19">
      <w:pPr>
        <w:spacing w:before="120" w:after="120" w:line="240" w:lineRule="auto"/>
        <w:jc w:val="both"/>
        <w:rPr>
          <w:rFonts w:ascii="Times New Roman" w:hAnsi="Times New Roman" w:cs="Times New Roman"/>
          <w:sz w:val="24"/>
          <w:szCs w:val="24"/>
        </w:rPr>
      </w:pPr>
    </w:p>
    <w:p w:rsidR="00950BDF" w:rsidRPr="00950BDF" w:rsidRDefault="00950BDF" w:rsidP="00E44C19">
      <w:pPr>
        <w:spacing w:before="120" w:after="120" w:line="240" w:lineRule="auto"/>
        <w:jc w:val="both"/>
        <w:rPr>
          <w:rFonts w:ascii="Times New Roman" w:hAnsi="Times New Roman" w:cs="Times New Roman"/>
          <w:i/>
          <w:sz w:val="24"/>
          <w:szCs w:val="24"/>
        </w:rPr>
      </w:pPr>
      <w:r w:rsidRPr="00950BDF">
        <w:rPr>
          <w:rFonts w:ascii="Times New Roman" w:hAnsi="Times New Roman" w:cs="Times New Roman"/>
          <w:i/>
          <w:sz w:val="24"/>
          <w:szCs w:val="24"/>
        </w:rPr>
        <w:t>Отчисления за Фонд СЕС</w:t>
      </w:r>
    </w:p>
    <w:p w:rsidR="00950BDF" w:rsidRDefault="00950BDF" w:rsidP="00E44C19">
      <w:pPr>
        <w:shd w:val="clear" w:color="auto" w:fill="FEFEFE"/>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Прогнозирани са отчисления за Фонд СЕС в размер на 5% от ежегодните приходи от продажба на електроенергия до 2047 г.</w:t>
      </w:r>
    </w:p>
    <w:p w:rsidR="00233DB8" w:rsidRPr="00950BDF" w:rsidRDefault="00233DB8" w:rsidP="00E44C19">
      <w:pPr>
        <w:shd w:val="clear" w:color="auto" w:fill="FEFEFE"/>
        <w:spacing w:before="120" w:after="120" w:line="240" w:lineRule="auto"/>
        <w:jc w:val="both"/>
        <w:rPr>
          <w:rFonts w:ascii="Times New Roman" w:hAnsi="Times New Roman" w:cs="Times New Roman"/>
          <w:sz w:val="24"/>
          <w:szCs w:val="24"/>
        </w:rPr>
      </w:pPr>
    </w:p>
    <w:p w:rsidR="00950BDF" w:rsidRPr="009E067D" w:rsidRDefault="00950BDF" w:rsidP="00E44C19">
      <w:pPr>
        <w:pStyle w:val="Heading4"/>
        <w:spacing w:before="120" w:after="120" w:line="240" w:lineRule="auto"/>
        <w:jc w:val="both"/>
        <w:rPr>
          <w:rFonts w:ascii="Times New Roman" w:hAnsi="Times New Roman" w:cs="Times New Roman"/>
          <w:color w:val="auto"/>
          <w:sz w:val="24"/>
          <w:szCs w:val="24"/>
        </w:rPr>
      </w:pPr>
      <w:r w:rsidRPr="009E067D">
        <w:rPr>
          <w:rFonts w:ascii="Times New Roman" w:hAnsi="Times New Roman" w:cs="Times New Roman"/>
          <w:color w:val="auto"/>
          <w:sz w:val="24"/>
          <w:szCs w:val="24"/>
        </w:rPr>
        <w:t>Основни допускания за други групи разходи</w:t>
      </w:r>
    </w:p>
    <w:p w:rsidR="00950BDF" w:rsidRPr="00950BDF" w:rsidRDefault="00950BDF" w:rsidP="00E44C19">
      <w:pPr>
        <w:spacing w:before="120" w:after="120" w:line="240" w:lineRule="auto"/>
        <w:jc w:val="both"/>
        <w:rPr>
          <w:rFonts w:ascii="Times New Roman" w:hAnsi="Times New Roman" w:cs="Times New Roman"/>
          <w:i/>
          <w:sz w:val="24"/>
          <w:szCs w:val="24"/>
        </w:rPr>
      </w:pPr>
      <w:r w:rsidRPr="00950BDF">
        <w:rPr>
          <w:rFonts w:ascii="Times New Roman" w:hAnsi="Times New Roman" w:cs="Times New Roman"/>
          <w:i/>
          <w:sz w:val="24"/>
          <w:szCs w:val="24"/>
        </w:rPr>
        <w:t xml:space="preserve">Разходи за реинвестиции и капиталови ремонти </w:t>
      </w:r>
    </w:p>
    <w:p w:rsidR="00950BDF" w:rsidRPr="00950BDF" w:rsidRDefault="00950BDF" w:rsidP="00E44C19">
      <w:pPr>
        <w:shd w:val="clear" w:color="auto" w:fill="FEFEFE"/>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Съгласно Закона за безопасно използване на ядрената енергия</w:t>
      </w:r>
      <w:r w:rsidR="005205EA">
        <w:rPr>
          <w:rFonts w:ascii="Times New Roman" w:hAnsi="Times New Roman" w:cs="Times New Roman"/>
          <w:sz w:val="24"/>
          <w:szCs w:val="24"/>
        </w:rPr>
        <w:t>,</w:t>
      </w:r>
      <w:r w:rsidRPr="00950BDF">
        <w:rPr>
          <w:rFonts w:ascii="Times New Roman" w:hAnsi="Times New Roman" w:cs="Times New Roman"/>
          <w:sz w:val="24"/>
          <w:szCs w:val="24"/>
        </w:rPr>
        <w:t xml:space="preserve"> издаваната лицензия за експлоатация на ядрени съоръжения от Агенцията за ядрено регулиране (АЯР) е със срок на валидност от 10 години. Поради това е предвидено преиздаване на лицензията на всеки 10 години, като всяка девета години са планирани разходи за капиталови ремонти, с които да се отговори на изискванията за издаване на лицензията.</w:t>
      </w:r>
    </w:p>
    <w:p w:rsidR="00950BDF" w:rsidRPr="00950BDF" w:rsidRDefault="00950BDF" w:rsidP="00E44C19">
      <w:pPr>
        <w:shd w:val="clear" w:color="auto" w:fill="FEFEFE"/>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Предвидени са и разходи за реинвестиция в 2 турбини в съответствие с 40-годишния им срок на експлоатация.</w:t>
      </w:r>
    </w:p>
    <w:p w:rsidR="00950BDF" w:rsidRPr="00950BDF" w:rsidRDefault="00950BDF" w:rsidP="00E44C19">
      <w:pPr>
        <w:shd w:val="clear" w:color="auto" w:fill="FEFEFE"/>
        <w:spacing w:before="120" w:after="120" w:line="240" w:lineRule="auto"/>
        <w:jc w:val="both"/>
        <w:rPr>
          <w:rFonts w:ascii="Times New Roman" w:hAnsi="Times New Roman" w:cs="Times New Roman"/>
          <w:sz w:val="24"/>
          <w:szCs w:val="24"/>
        </w:rPr>
      </w:pPr>
    </w:p>
    <w:p w:rsidR="00950BDF" w:rsidRPr="00950BDF" w:rsidRDefault="00950BDF" w:rsidP="00E44C19">
      <w:pPr>
        <w:keepNext/>
        <w:spacing w:before="120" w:after="120" w:line="240" w:lineRule="auto"/>
        <w:jc w:val="both"/>
        <w:rPr>
          <w:rFonts w:ascii="Times New Roman" w:hAnsi="Times New Roman" w:cs="Times New Roman"/>
          <w:i/>
          <w:sz w:val="24"/>
          <w:szCs w:val="24"/>
        </w:rPr>
      </w:pPr>
      <w:r w:rsidRPr="00950BDF">
        <w:rPr>
          <w:rFonts w:ascii="Times New Roman" w:hAnsi="Times New Roman" w:cs="Times New Roman"/>
          <w:i/>
          <w:sz w:val="24"/>
          <w:szCs w:val="24"/>
        </w:rPr>
        <w:t>Разходи за амортизации</w:t>
      </w:r>
    </w:p>
    <w:p w:rsidR="00950BDF" w:rsidRPr="00950BDF" w:rsidRDefault="00950BDF" w:rsidP="00E44C19">
      <w:pPr>
        <w:shd w:val="clear" w:color="auto" w:fill="FEFEFE"/>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Всички капитализирани разходи, т.е. инвестиционни разходи, лихви и такси по време на строителството и капиталови разходи, се амортизират по метода на линейната амортизация.</w:t>
      </w:r>
    </w:p>
    <w:p w:rsidR="00950BDF" w:rsidRPr="00950BDF" w:rsidRDefault="00950BDF" w:rsidP="00E44C19">
      <w:pPr>
        <w:shd w:val="clear" w:color="auto" w:fill="FEFEFE"/>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Съгласно техническия проект</w:t>
      </w:r>
      <w:r w:rsidR="005205EA">
        <w:rPr>
          <w:rFonts w:ascii="Times New Roman" w:hAnsi="Times New Roman" w:cs="Times New Roman"/>
          <w:sz w:val="24"/>
          <w:szCs w:val="24"/>
        </w:rPr>
        <w:t>,</w:t>
      </w:r>
      <w:r w:rsidRPr="00950BDF">
        <w:rPr>
          <w:rFonts w:ascii="Times New Roman" w:hAnsi="Times New Roman" w:cs="Times New Roman"/>
          <w:sz w:val="24"/>
          <w:szCs w:val="24"/>
        </w:rPr>
        <w:t xml:space="preserve"> проектният срок на експлоатация на оборудването на АЕЦ </w:t>
      </w:r>
      <w:r w:rsidR="005205EA">
        <w:rPr>
          <w:rFonts w:ascii="Times New Roman" w:hAnsi="Times New Roman" w:cs="Times New Roman"/>
          <w:sz w:val="24"/>
          <w:szCs w:val="24"/>
        </w:rPr>
        <w:t>„</w:t>
      </w:r>
      <w:r w:rsidRPr="00950BDF">
        <w:rPr>
          <w:rFonts w:ascii="Times New Roman" w:hAnsi="Times New Roman" w:cs="Times New Roman"/>
          <w:sz w:val="24"/>
          <w:szCs w:val="24"/>
        </w:rPr>
        <w:t>Белене</w:t>
      </w:r>
      <w:r w:rsidR="005205EA">
        <w:rPr>
          <w:rFonts w:ascii="Times New Roman" w:hAnsi="Times New Roman" w:cs="Times New Roman"/>
          <w:sz w:val="24"/>
          <w:szCs w:val="24"/>
        </w:rPr>
        <w:t>”</w:t>
      </w:r>
      <w:r w:rsidRPr="00950BDF">
        <w:rPr>
          <w:rFonts w:ascii="Times New Roman" w:hAnsi="Times New Roman" w:cs="Times New Roman"/>
          <w:sz w:val="24"/>
          <w:szCs w:val="24"/>
        </w:rPr>
        <w:t xml:space="preserve"> е 60 години, като само срокът на експлоатация на двете турбини е 40 години. По тази причина в модела цялото оборудване се амортизира за срок от 60 години</w:t>
      </w:r>
      <w:r w:rsidR="005205EA">
        <w:rPr>
          <w:rFonts w:ascii="Times New Roman" w:hAnsi="Times New Roman" w:cs="Times New Roman"/>
          <w:sz w:val="24"/>
          <w:szCs w:val="24"/>
        </w:rPr>
        <w:t>, а само 2-те турбини – за 40 години</w:t>
      </w:r>
      <w:r w:rsidRPr="00950BDF">
        <w:rPr>
          <w:rFonts w:ascii="Times New Roman" w:hAnsi="Times New Roman" w:cs="Times New Roman"/>
          <w:sz w:val="24"/>
          <w:szCs w:val="24"/>
        </w:rPr>
        <w:t>, като са предвидени разходи за съответна реинвестиция.</w:t>
      </w:r>
    </w:p>
    <w:p w:rsidR="00950BDF" w:rsidRPr="00950BDF" w:rsidRDefault="00950BDF" w:rsidP="00E44C19">
      <w:pPr>
        <w:spacing w:before="120" w:after="120" w:line="240" w:lineRule="auto"/>
        <w:jc w:val="both"/>
        <w:rPr>
          <w:rFonts w:ascii="Times New Roman" w:hAnsi="Times New Roman" w:cs="Times New Roman"/>
          <w:i/>
          <w:sz w:val="24"/>
          <w:szCs w:val="24"/>
        </w:rPr>
      </w:pPr>
    </w:p>
    <w:p w:rsidR="00950BDF" w:rsidRPr="00950BDF" w:rsidRDefault="00950BDF" w:rsidP="00E44C19">
      <w:pPr>
        <w:spacing w:before="120" w:after="120" w:line="240" w:lineRule="auto"/>
        <w:jc w:val="both"/>
        <w:rPr>
          <w:rFonts w:ascii="Times New Roman" w:hAnsi="Times New Roman" w:cs="Times New Roman"/>
          <w:i/>
          <w:sz w:val="24"/>
          <w:szCs w:val="24"/>
        </w:rPr>
      </w:pPr>
      <w:r w:rsidRPr="00950BDF">
        <w:rPr>
          <w:rFonts w:ascii="Times New Roman" w:hAnsi="Times New Roman" w:cs="Times New Roman"/>
          <w:i/>
          <w:sz w:val="24"/>
          <w:szCs w:val="24"/>
        </w:rPr>
        <w:t>Разходи за данъци</w:t>
      </w:r>
    </w:p>
    <w:p w:rsidR="00950BDF" w:rsidRDefault="00950BDF" w:rsidP="00E44C19">
      <w:pPr>
        <w:spacing w:before="120" w:after="120" w:line="240" w:lineRule="auto"/>
        <w:jc w:val="both"/>
        <w:rPr>
          <w:rFonts w:ascii="Times New Roman" w:hAnsi="Times New Roman" w:cs="Times New Roman"/>
          <w:sz w:val="24"/>
          <w:szCs w:val="24"/>
          <w:lang w:val="en-US"/>
        </w:rPr>
      </w:pPr>
      <w:r w:rsidRPr="00950BDF">
        <w:rPr>
          <w:rFonts w:ascii="Times New Roman" w:hAnsi="Times New Roman" w:cs="Times New Roman"/>
          <w:sz w:val="24"/>
          <w:szCs w:val="24"/>
        </w:rPr>
        <w:t>Разходите за данъци се изчисляват на базата на прогнозираните финансови потоци и съответната прогнозна облагаема печалба. Тази печалба се облага със съществуващите данъчни ставки за корпоративно облагане и изискванията на счетоводната нормативна уредба в България.</w:t>
      </w:r>
    </w:p>
    <w:p w:rsidR="009E067D" w:rsidRPr="009E067D" w:rsidRDefault="009E067D" w:rsidP="00E44C19">
      <w:pPr>
        <w:spacing w:before="120" w:after="120" w:line="240" w:lineRule="auto"/>
        <w:jc w:val="both"/>
        <w:rPr>
          <w:rFonts w:ascii="Times New Roman" w:hAnsi="Times New Roman" w:cs="Times New Roman"/>
          <w:sz w:val="24"/>
          <w:szCs w:val="24"/>
          <w:lang w:val="en-US"/>
        </w:rPr>
      </w:pPr>
    </w:p>
    <w:p w:rsidR="00950BDF" w:rsidRPr="009E067D" w:rsidRDefault="00950BDF" w:rsidP="00E44C19">
      <w:pPr>
        <w:pStyle w:val="Heading4"/>
        <w:spacing w:before="120" w:after="120" w:line="240" w:lineRule="auto"/>
        <w:jc w:val="both"/>
        <w:rPr>
          <w:rFonts w:ascii="Times New Roman" w:hAnsi="Times New Roman" w:cs="Times New Roman"/>
          <w:color w:val="auto"/>
          <w:sz w:val="24"/>
          <w:szCs w:val="24"/>
        </w:rPr>
      </w:pPr>
      <w:r w:rsidRPr="009E067D">
        <w:rPr>
          <w:rFonts w:ascii="Times New Roman" w:hAnsi="Times New Roman" w:cs="Times New Roman"/>
          <w:color w:val="auto"/>
          <w:sz w:val="24"/>
          <w:szCs w:val="24"/>
        </w:rPr>
        <w:t>Основни допускания за производството и приходите</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 xml:space="preserve">За изчисляване на годишното производство на АЕЦ </w:t>
      </w:r>
      <w:r w:rsidR="005205EA">
        <w:rPr>
          <w:rFonts w:ascii="Times New Roman" w:hAnsi="Times New Roman" w:cs="Times New Roman"/>
          <w:sz w:val="24"/>
          <w:szCs w:val="24"/>
        </w:rPr>
        <w:t>„</w:t>
      </w:r>
      <w:r w:rsidRPr="00950BDF">
        <w:rPr>
          <w:rFonts w:ascii="Times New Roman" w:hAnsi="Times New Roman" w:cs="Times New Roman"/>
          <w:sz w:val="24"/>
          <w:szCs w:val="24"/>
        </w:rPr>
        <w:t>Белене</w:t>
      </w:r>
      <w:r w:rsidR="005205EA">
        <w:rPr>
          <w:rFonts w:ascii="Times New Roman" w:hAnsi="Times New Roman" w:cs="Times New Roman"/>
          <w:sz w:val="24"/>
          <w:szCs w:val="24"/>
        </w:rPr>
        <w:t>”</w:t>
      </w:r>
      <w:r w:rsidRPr="00950BDF">
        <w:rPr>
          <w:rFonts w:ascii="Times New Roman" w:hAnsi="Times New Roman" w:cs="Times New Roman"/>
          <w:sz w:val="24"/>
          <w:szCs w:val="24"/>
        </w:rPr>
        <w:t xml:space="preserve"> е необходимо да се направят допускания на още два параметъра в допълнение към вече описаните допускания по отношение на натоварването и работата на мощностите</w:t>
      </w:r>
      <w:r w:rsidR="005205EA">
        <w:rPr>
          <w:rFonts w:ascii="Times New Roman" w:hAnsi="Times New Roman" w:cs="Times New Roman"/>
          <w:sz w:val="24"/>
          <w:szCs w:val="24"/>
        </w:rPr>
        <w:t xml:space="preserve"> –</w:t>
      </w:r>
      <w:r w:rsidRPr="00950BDF">
        <w:rPr>
          <w:rFonts w:ascii="Times New Roman" w:hAnsi="Times New Roman" w:cs="Times New Roman"/>
          <w:sz w:val="24"/>
          <w:szCs w:val="24"/>
        </w:rPr>
        <w:t xml:space="preserve"> ниво на натоварване (dispatching</w:t>
      </w:r>
      <w:r w:rsidR="002A0227">
        <w:rPr>
          <w:rFonts w:ascii="Times New Roman" w:hAnsi="Times New Roman" w:cs="Times New Roman"/>
          <w:sz w:val="24"/>
          <w:szCs w:val="24"/>
        </w:rPr>
        <w:t xml:space="preserve"> </w:t>
      </w:r>
      <w:r w:rsidRPr="00950BDF">
        <w:rPr>
          <w:rFonts w:ascii="Times New Roman" w:hAnsi="Times New Roman" w:cs="Times New Roman"/>
          <w:sz w:val="24"/>
          <w:szCs w:val="24"/>
        </w:rPr>
        <w:t>rate) и дял на електроенергията за собствени нужди. По отношение на първия параметър моделът е разработен при 100% натоварване, като това е един от параметрите, по които е тествана чувствителността на модела.</w:t>
      </w:r>
    </w:p>
    <w:p w:rsidR="00950BDF" w:rsidRDefault="00950BDF" w:rsidP="002C6255">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lastRenderedPageBreak/>
        <w:t xml:space="preserve">В техническия проект е посочено, че делът на електроенергията за собствени нужди е 7-8% от производството. На базата на експертна оценка е прието, че до 2047 г. този дял е 7%, а след това до края на експлоатационния период </w:t>
      </w:r>
      <w:r w:rsidR="005205EA">
        <w:rPr>
          <w:rFonts w:ascii="Times New Roman" w:hAnsi="Times New Roman" w:cs="Times New Roman"/>
          <w:sz w:val="24"/>
          <w:szCs w:val="24"/>
        </w:rPr>
        <w:t>–</w:t>
      </w:r>
      <w:r w:rsidRPr="00950BDF">
        <w:rPr>
          <w:rFonts w:ascii="Times New Roman" w:hAnsi="Times New Roman" w:cs="Times New Roman"/>
          <w:sz w:val="24"/>
          <w:szCs w:val="24"/>
        </w:rPr>
        <w:t xml:space="preserve"> 8%.</w:t>
      </w:r>
    </w:p>
    <w:p w:rsidR="002C6255" w:rsidRDefault="002C6255" w:rsidP="005205EA">
      <w:pPr>
        <w:spacing w:before="120" w:after="0" w:line="240" w:lineRule="auto"/>
        <w:jc w:val="both"/>
        <w:rPr>
          <w:rFonts w:ascii="Times New Roman" w:hAnsi="Times New Roman" w:cs="Times New Roman"/>
          <w:sz w:val="24"/>
          <w:szCs w:val="24"/>
        </w:rPr>
      </w:pPr>
      <w:r w:rsidRPr="00950BDF">
        <w:rPr>
          <w:rFonts w:ascii="Times New Roman" w:hAnsi="Times New Roman" w:cs="Times New Roman"/>
          <w:sz w:val="24"/>
          <w:szCs w:val="24"/>
        </w:rPr>
        <w:t>По отношение на цените</w:t>
      </w:r>
      <w:r w:rsidR="005205EA">
        <w:rPr>
          <w:rFonts w:ascii="Times New Roman" w:hAnsi="Times New Roman" w:cs="Times New Roman"/>
          <w:sz w:val="24"/>
          <w:szCs w:val="24"/>
        </w:rPr>
        <w:t>,</w:t>
      </w:r>
      <w:r w:rsidRPr="00950BDF">
        <w:rPr>
          <w:rFonts w:ascii="Times New Roman" w:hAnsi="Times New Roman" w:cs="Times New Roman"/>
          <w:sz w:val="24"/>
          <w:szCs w:val="24"/>
        </w:rPr>
        <w:t xml:space="preserve"> моделът използва резултатите от Дейност III. „Изследване на тенденциите на развитие на енергийните пазари в Европа и възможностите на България да продължи да бъде износител на </w:t>
      </w:r>
      <w:r w:rsidRPr="00E6666C">
        <w:rPr>
          <w:rFonts w:ascii="Times New Roman" w:hAnsi="Times New Roman" w:cs="Times New Roman"/>
          <w:sz w:val="24"/>
          <w:szCs w:val="24"/>
        </w:rPr>
        <w:t>електроенергия</w:t>
      </w:r>
      <w:r w:rsidR="005205EA" w:rsidRPr="00E6666C">
        <w:rPr>
          <w:rFonts w:ascii="Times New Roman" w:hAnsi="Times New Roman" w:cs="Times New Roman"/>
          <w:sz w:val="24"/>
          <w:szCs w:val="24"/>
        </w:rPr>
        <w:t>”</w:t>
      </w:r>
      <w:r w:rsidRPr="00E6666C">
        <w:rPr>
          <w:rFonts w:ascii="Times New Roman" w:hAnsi="Times New Roman" w:cs="Times New Roman"/>
          <w:sz w:val="24"/>
          <w:szCs w:val="24"/>
        </w:rPr>
        <w:t>. Това обхваща и анализ на ценовите нива на електроенергията на енергийните борси и сравнение с тези на енергията, произвеждана в страната</w:t>
      </w:r>
      <w:r w:rsidR="005205EA" w:rsidRPr="00E6666C">
        <w:rPr>
          <w:rFonts w:ascii="Times New Roman" w:hAnsi="Times New Roman" w:cs="Times New Roman"/>
          <w:sz w:val="24"/>
          <w:szCs w:val="24"/>
        </w:rPr>
        <w:t xml:space="preserve"> (вж.</w:t>
      </w:r>
      <w:r w:rsidRPr="00E6666C">
        <w:rPr>
          <w:rFonts w:ascii="Times New Roman" w:hAnsi="Times New Roman" w:cs="Times New Roman"/>
          <w:sz w:val="24"/>
          <w:szCs w:val="24"/>
        </w:rPr>
        <w:t xml:space="preserve"> табл. </w:t>
      </w:r>
      <w:r w:rsidRPr="00E6666C">
        <w:rPr>
          <w:rFonts w:ascii="Times New Roman" w:hAnsi="Times New Roman" w:cs="Times New Roman"/>
          <w:sz w:val="24"/>
          <w:szCs w:val="24"/>
          <w:lang w:val="en-US"/>
        </w:rPr>
        <w:t>V.</w:t>
      </w:r>
      <w:r w:rsidR="005E2F18" w:rsidRPr="00E6666C">
        <w:rPr>
          <w:rFonts w:ascii="Times New Roman" w:hAnsi="Times New Roman" w:cs="Times New Roman"/>
          <w:sz w:val="24"/>
          <w:szCs w:val="24"/>
          <w:lang w:val="en-US"/>
        </w:rPr>
        <w:t>8</w:t>
      </w:r>
      <w:r w:rsidR="002A0227">
        <w:rPr>
          <w:rFonts w:ascii="Times New Roman" w:hAnsi="Times New Roman" w:cs="Times New Roman"/>
          <w:sz w:val="24"/>
          <w:szCs w:val="24"/>
        </w:rPr>
        <w:t xml:space="preserve"> </w:t>
      </w:r>
      <w:r w:rsidR="005E2F18" w:rsidRPr="00E6666C">
        <w:rPr>
          <w:rFonts w:ascii="Times New Roman" w:hAnsi="Times New Roman" w:cs="Times New Roman"/>
          <w:sz w:val="24"/>
          <w:szCs w:val="24"/>
        </w:rPr>
        <w:t xml:space="preserve">и табл. </w:t>
      </w:r>
      <w:r w:rsidR="005E2F18" w:rsidRPr="00E6666C">
        <w:rPr>
          <w:rFonts w:ascii="Times New Roman" w:hAnsi="Times New Roman" w:cs="Times New Roman"/>
          <w:sz w:val="24"/>
          <w:szCs w:val="24"/>
          <w:lang w:val="en-US"/>
        </w:rPr>
        <w:t>V.2</w:t>
      </w:r>
      <w:r w:rsidR="005205EA" w:rsidRPr="00E6666C">
        <w:rPr>
          <w:rFonts w:ascii="Times New Roman" w:hAnsi="Times New Roman" w:cs="Times New Roman"/>
          <w:sz w:val="24"/>
          <w:szCs w:val="24"/>
        </w:rPr>
        <w:t>)</w:t>
      </w:r>
      <w:r w:rsidRPr="00E6666C">
        <w:rPr>
          <w:rFonts w:ascii="Times New Roman" w:hAnsi="Times New Roman" w:cs="Times New Roman"/>
          <w:sz w:val="24"/>
          <w:szCs w:val="24"/>
        </w:rPr>
        <w:t>.</w:t>
      </w:r>
    </w:p>
    <w:p w:rsidR="00950BDF" w:rsidRPr="005E2F18" w:rsidRDefault="005E2F18" w:rsidP="005E2F18">
      <w:pPr>
        <w:pStyle w:val="Caption"/>
        <w:rPr>
          <w:rFonts w:ascii="Times New Roman" w:hAnsi="Times New Roman"/>
          <w:szCs w:val="24"/>
        </w:rPr>
      </w:pPr>
      <w:bookmarkStart w:id="112" w:name="_Toc491990978"/>
      <w:bookmarkStart w:id="113" w:name="_Toc491994413"/>
      <w:bookmarkStart w:id="114" w:name="_Toc493240904"/>
      <w:r w:rsidRPr="005E2F18">
        <w:rPr>
          <w:rFonts w:hint="eastAsia"/>
        </w:rPr>
        <w:t>Таблица</w:t>
      </w:r>
      <w:r w:rsidR="002A0227">
        <w:rPr>
          <w:rFonts w:asciiTheme="minorHAnsi" w:hAnsiTheme="minorHAnsi"/>
        </w:rPr>
        <w:t xml:space="preserve"> </w:t>
      </w:r>
      <w:r w:rsidRPr="005E2F18">
        <w:t>V.</w:t>
      </w:r>
      <w:r w:rsidR="0097530B">
        <w:fldChar w:fldCharType="begin"/>
      </w:r>
      <w:r w:rsidR="00042F89">
        <w:instrText xml:space="preserve"> SEQ Таблица_V. \* ARABIC </w:instrText>
      </w:r>
      <w:r w:rsidR="0097530B">
        <w:fldChar w:fldCharType="separate"/>
      </w:r>
      <w:r w:rsidR="00F44EBF">
        <w:rPr>
          <w:noProof/>
        </w:rPr>
        <w:t>8</w:t>
      </w:r>
      <w:r w:rsidR="0097530B">
        <w:rPr>
          <w:noProof/>
        </w:rPr>
        <w:fldChar w:fldCharType="end"/>
      </w:r>
      <w:r w:rsidRPr="005E2F18">
        <w:rPr>
          <w:rFonts w:asciiTheme="minorHAnsi" w:hAnsiTheme="minorHAnsi"/>
          <w:lang w:val="en-US"/>
        </w:rPr>
        <w:t xml:space="preserve">. </w:t>
      </w:r>
      <w:r w:rsidR="00950BDF" w:rsidRPr="005E2F18">
        <w:rPr>
          <w:rFonts w:ascii="Times New Roman" w:hAnsi="Times New Roman"/>
          <w:szCs w:val="24"/>
        </w:rPr>
        <w:t>Прогнозни цени на вътрешния и регионалния пазари, евро/MWh</w:t>
      </w:r>
      <w:bookmarkEnd w:id="112"/>
      <w:bookmarkEnd w:id="113"/>
      <w:bookmarkEnd w:id="114"/>
    </w:p>
    <w:tbl>
      <w:tblPr>
        <w:tblW w:w="0" w:type="auto"/>
        <w:tblInd w:w="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43"/>
        <w:gridCol w:w="568"/>
        <w:gridCol w:w="568"/>
        <w:gridCol w:w="568"/>
      </w:tblGrid>
      <w:tr w:rsidR="00950BDF" w:rsidRPr="005205EA" w:rsidTr="005205EA">
        <w:tc>
          <w:tcPr>
            <w:tcW w:w="0" w:type="auto"/>
            <w:tcBorders>
              <w:top w:val="single" w:sz="12" w:space="0" w:color="auto"/>
              <w:bottom w:val="single" w:sz="12" w:space="0" w:color="auto"/>
              <w:right w:val="single" w:sz="12" w:space="0" w:color="auto"/>
            </w:tcBorders>
            <w:shd w:val="clear" w:color="auto" w:fill="BFBFBF"/>
            <w:noWrap/>
            <w:vAlign w:val="bottom"/>
            <w:hideMark/>
          </w:tcPr>
          <w:p w:rsidR="00950BDF" w:rsidRPr="005205EA" w:rsidRDefault="00950BDF" w:rsidP="00E44C19">
            <w:pPr>
              <w:spacing w:after="0" w:line="240" w:lineRule="auto"/>
              <w:rPr>
                <w:rFonts w:ascii="Times New Roman" w:eastAsia="Times New Roman" w:hAnsi="Times New Roman" w:cs="Times New Roman"/>
                <w:color w:val="000000"/>
                <w:sz w:val="19"/>
                <w:szCs w:val="19"/>
              </w:rPr>
            </w:pPr>
            <w:r w:rsidRPr="005205EA">
              <w:rPr>
                <w:rFonts w:ascii="Times New Roman" w:eastAsia="Times New Roman" w:hAnsi="Times New Roman" w:cs="Times New Roman"/>
                <w:color w:val="000000"/>
                <w:sz w:val="19"/>
                <w:szCs w:val="19"/>
              </w:rPr>
              <w:t> </w:t>
            </w:r>
          </w:p>
        </w:tc>
        <w:tc>
          <w:tcPr>
            <w:tcW w:w="0" w:type="auto"/>
            <w:tcBorders>
              <w:left w:val="single" w:sz="12" w:space="0" w:color="auto"/>
              <w:bottom w:val="single" w:sz="12" w:space="0" w:color="auto"/>
            </w:tcBorders>
            <w:shd w:val="clear" w:color="auto" w:fill="BFBFBF"/>
            <w:noWrap/>
            <w:vAlign w:val="bottom"/>
            <w:hideMark/>
          </w:tcPr>
          <w:p w:rsidR="00950BDF" w:rsidRPr="005205EA" w:rsidRDefault="00950BDF" w:rsidP="00E44C19">
            <w:pPr>
              <w:spacing w:after="0" w:line="240" w:lineRule="auto"/>
              <w:jc w:val="center"/>
              <w:rPr>
                <w:rFonts w:ascii="Times New Roman" w:eastAsia="Times New Roman" w:hAnsi="Times New Roman" w:cs="Times New Roman"/>
                <w:b/>
                <w:bCs/>
                <w:color w:val="000000"/>
                <w:sz w:val="19"/>
                <w:szCs w:val="19"/>
              </w:rPr>
            </w:pPr>
            <w:r w:rsidRPr="005205EA">
              <w:rPr>
                <w:rFonts w:ascii="Times New Roman" w:eastAsia="Times New Roman" w:hAnsi="Times New Roman" w:cs="Times New Roman"/>
                <w:b/>
                <w:bCs/>
                <w:color w:val="000000"/>
                <w:sz w:val="19"/>
                <w:szCs w:val="19"/>
              </w:rPr>
              <w:t>2030</w:t>
            </w:r>
          </w:p>
        </w:tc>
        <w:tc>
          <w:tcPr>
            <w:tcW w:w="0" w:type="auto"/>
            <w:tcBorders>
              <w:bottom w:val="single" w:sz="12" w:space="0" w:color="auto"/>
            </w:tcBorders>
            <w:shd w:val="clear" w:color="auto" w:fill="BFBFBF"/>
            <w:noWrap/>
            <w:vAlign w:val="bottom"/>
            <w:hideMark/>
          </w:tcPr>
          <w:p w:rsidR="00950BDF" w:rsidRPr="005205EA" w:rsidRDefault="00950BDF" w:rsidP="00E44C19">
            <w:pPr>
              <w:spacing w:after="0" w:line="240" w:lineRule="auto"/>
              <w:jc w:val="center"/>
              <w:rPr>
                <w:rFonts w:ascii="Times New Roman" w:eastAsia="Times New Roman" w:hAnsi="Times New Roman" w:cs="Times New Roman"/>
                <w:b/>
                <w:bCs/>
                <w:color w:val="000000"/>
                <w:sz w:val="19"/>
                <w:szCs w:val="19"/>
              </w:rPr>
            </w:pPr>
            <w:r w:rsidRPr="005205EA">
              <w:rPr>
                <w:rFonts w:ascii="Times New Roman" w:eastAsia="Times New Roman" w:hAnsi="Times New Roman" w:cs="Times New Roman"/>
                <w:b/>
                <w:bCs/>
                <w:color w:val="000000"/>
                <w:sz w:val="19"/>
                <w:szCs w:val="19"/>
              </w:rPr>
              <w:t>2035</w:t>
            </w:r>
          </w:p>
        </w:tc>
        <w:tc>
          <w:tcPr>
            <w:tcW w:w="0" w:type="auto"/>
            <w:tcBorders>
              <w:bottom w:val="single" w:sz="12" w:space="0" w:color="auto"/>
            </w:tcBorders>
            <w:shd w:val="clear" w:color="auto" w:fill="BFBFBF"/>
            <w:noWrap/>
            <w:vAlign w:val="bottom"/>
            <w:hideMark/>
          </w:tcPr>
          <w:p w:rsidR="00950BDF" w:rsidRPr="005205EA" w:rsidRDefault="00950BDF" w:rsidP="00E44C19">
            <w:pPr>
              <w:spacing w:after="0" w:line="240" w:lineRule="auto"/>
              <w:jc w:val="center"/>
              <w:rPr>
                <w:rFonts w:ascii="Times New Roman" w:eastAsia="Times New Roman" w:hAnsi="Times New Roman" w:cs="Times New Roman"/>
                <w:b/>
                <w:bCs/>
                <w:color w:val="000000"/>
                <w:sz w:val="19"/>
                <w:szCs w:val="19"/>
              </w:rPr>
            </w:pPr>
            <w:r w:rsidRPr="005205EA">
              <w:rPr>
                <w:rFonts w:ascii="Times New Roman" w:eastAsia="Times New Roman" w:hAnsi="Times New Roman" w:cs="Times New Roman"/>
                <w:b/>
                <w:bCs/>
                <w:color w:val="000000"/>
                <w:sz w:val="19"/>
                <w:szCs w:val="19"/>
              </w:rPr>
              <w:t>2040</w:t>
            </w:r>
          </w:p>
        </w:tc>
      </w:tr>
      <w:tr w:rsidR="00950BDF" w:rsidRPr="005205EA" w:rsidTr="005205EA">
        <w:tc>
          <w:tcPr>
            <w:tcW w:w="0" w:type="auto"/>
            <w:tcBorders>
              <w:top w:val="single" w:sz="12" w:space="0" w:color="auto"/>
              <w:bottom w:val="single" w:sz="4" w:space="0" w:color="auto"/>
              <w:right w:val="single" w:sz="12" w:space="0" w:color="auto"/>
            </w:tcBorders>
            <w:shd w:val="clear" w:color="auto" w:fill="auto"/>
            <w:noWrap/>
            <w:vAlign w:val="bottom"/>
            <w:hideMark/>
          </w:tcPr>
          <w:p w:rsidR="00950BDF" w:rsidRPr="005205EA" w:rsidRDefault="00950BDF" w:rsidP="00E44C19">
            <w:pPr>
              <w:spacing w:after="0" w:line="240" w:lineRule="auto"/>
              <w:rPr>
                <w:rFonts w:ascii="Times New Roman" w:eastAsia="Times New Roman" w:hAnsi="Times New Roman" w:cs="Times New Roman"/>
                <w:b/>
                <w:bCs/>
                <w:color w:val="000000"/>
                <w:sz w:val="19"/>
                <w:szCs w:val="19"/>
              </w:rPr>
            </w:pPr>
            <w:r w:rsidRPr="005205EA">
              <w:rPr>
                <w:rFonts w:ascii="Times New Roman" w:eastAsia="Times New Roman" w:hAnsi="Times New Roman" w:cs="Times New Roman"/>
                <w:b/>
                <w:bCs/>
                <w:color w:val="000000"/>
                <w:sz w:val="19"/>
                <w:szCs w:val="19"/>
              </w:rPr>
              <w:t>Цени на вътрешен пазар</w:t>
            </w:r>
          </w:p>
        </w:tc>
        <w:tc>
          <w:tcPr>
            <w:tcW w:w="0" w:type="auto"/>
            <w:tcBorders>
              <w:top w:val="single" w:sz="12" w:space="0" w:color="auto"/>
              <w:left w:val="single" w:sz="12" w:space="0" w:color="auto"/>
              <w:bottom w:val="single" w:sz="4" w:space="0" w:color="auto"/>
            </w:tcBorders>
            <w:shd w:val="clear" w:color="auto" w:fill="auto"/>
            <w:noWrap/>
            <w:vAlign w:val="bottom"/>
            <w:hideMark/>
          </w:tcPr>
          <w:p w:rsidR="00950BDF" w:rsidRPr="005205EA" w:rsidRDefault="00950BDF" w:rsidP="00E44C19">
            <w:pPr>
              <w:spacing w:after="0" w:line="240" w:lineRule="auto"/>
              <w:rPr>
                <w:rFonts w:ascii="Times New Roman" w:eastAsia="Times New Roman" w:hAnsi="Times New Roman" w:cs="Times New Roman"/>
                <w:color w:val="000000"/>
                <w:sz w:val="19"/>
                <w:szCs w:val="19"/>
              </w:rPr>
            </w:pPr>
            <w:r w:rsidRPr="005205EA">
              <w:rPr>
                <w:rFonts w:ascii="Times New Roman" w:eastAsia="Times New Roman" w:hAnsi="Times New Roman" w:cs="Times New Roman"/>
                <w:color w:val="000000"/>
                <w:sz w:val="19"/>
                <w:szCs w:val="19"/>
              </w:rPr>
              <w:t> </w:t>
            </w:r>
          </w:p>
        </w:tc>
        <w:tc>
          <w:tcPr>
            <w:tcW w:w="0" w:type="auto"/>
            <w:tcBorders>
              <w:top w:val="single" w:sz="12" w:space="0" w:color="auto"/>
              <w:bottom w:val="single" w:sz="4" w:space="0" w:color="auto"/>
            </w:tcBorders>
            <w:shd w:val="clear" w:color="auto" w:fill="auto"/>
            <w:noWrap/>
            <w:vAlign w:val="bottom"/>
            <w:hideMark/>
          </w:tcPr>
          <w:p w:rsidR="00950BDF" w:rsidRPr="00217F59" w:rsidRDefault="00950BDF" w:rsidP="00E44C19">
            <w:pPr>
              <w:spacing w:after="0" w:line="240" w:lineRule="auto"/>
              <w:rPr>
                <w:rFonts w:ascii="Times New Roman" w:eastAsia="Times New Roman" w:hAnsi="Times New Roman" w:cs="Times New Roman"/>
                <w:color w:val="000000"/>
                <w:sz w:val="19"/>
                <w:szCs w:val="19"/>
              </w:rPr>
            </w:pPr>
            <w:r w:rsidRPr="00217F59">
              <w:rPr>
                <w:rFonts w:ascii="Times New Roman" w:eastAsia="Times New Roman" w:hAnsi="Times New Roman" w:cs="Times New Roman"/>
                <w:color w:val="000000"/>
                <w:sz w:val="19"/>
                <w:szCs w:val="19"/>
              </w:rPr>
              <w:t> </w:t>
            </w:r>
          </w:p>
        </w:tc>
        <w:tc>
          <w:tcPr>
            <w:tcW w:w="0" w:type="auto"/>
            <w:tcBorders>
              <w:top w:val="single" w:sz="12" w:space="0" w:color="auto"/>
              <w:bottom w:val="single" w:sz="4" w:space="0" w:color="auto"/>
            </w:tcBorders>
            <w:shd w:val="clear" w:color="auto" w:fill="auto"/>
            <w:noWrap/>
            <w:vAlign w:val="bottom"/>
            <w:hideMark/>
          </w:tcPr>
          <w:p w:rsidR="00950BDF" w:rsidRPr="002C45EF" w:rsidRDefault="00950BDF" w:rsidP="00E44C19">
            <w:pPr>
              <w:spacing w:after="0" w:line="240" w:lineRule="auto"/>
              <w:rPr>
                <w:rFonts w:ascii="Times New Roman" w:eastAsia="Times New Roman" w:hAnsi="Times New Roman" w:cs="Times New Roman"/>
                <w:color w:val="000000"/>
                <w:sz w:val="19"/>
                <w:szCs w:val="19"/>
              </w:rPr>
            </w:pPr>
            <w:r w:rsidRPr="002C45EF">
              <w:rPr>
                <w:rFonts w:ascii="Times New Roman" w:eastAsia="Times New Roman" w:hAnsi="Times New Roman" w:cs="Times New Roman"/>
                <w:color w:val="000000"/>
                <w:sz w:val="19"/>
                <w:szCs w:val="19"/>
              </w:rPr>
              <w:t> </w:t>
            </w:r>
          </w:p>
        </w:tc>
      </w:tr>
      <w:tr w:rsidR="005E2F18" w:rsidRPr="005205EA" w:rsidTr="005205EA">
        <w:tc>
          <w:tcPr>
            <w:tcW w:w="0" w:type="auto"/>
            <w:tcBorders>
              <w:top w:val="single" w:sz="4" w:space="0" w:color="auto"/>
              <w:right w:val="single" w:sz="12" w:space="0" w:color="auto"/>
            </w:tcBorders>
            <w:shd w:val="clear" w:color="auto" w:fill="auto"/>
            <w:noWrap/>
            <w:vAlign w:val="bottom"/>
            <w:hideMark/>
          </w:tcPr>
          <w:p w:rsidR="005E2F18" w:rsidRPr="005205EA" w:rsidRDefault="005E2F18" w:rsidP="00E44C19">
            <w:pPr>
              <w:spacing w:after="0" w:line="240" w:lineRule="auto"/>
              <w:ind w:left="219"/>
              <w:rPr>
                <w:rFonts w:ascii="Times New Roman" w:eastAsia="Times New Roman" w:hAnsi="Times New Roman" w:cs="Times New Roman"/>
                <w:color w:val="000000"/>
                <w:sz w:val="19"/>
                <w:szCs w:val="19"/>
              </w:rPr>
            </w:pPr>
            <w:r w:rsidRPr="005205EA">
              <w:rPr>
                <w:rFonts w:ascii="Times New Roman" w:eastAsia="Times New Roman" w:hAnsi="Times New Roman" w:cs="Times New Roman"/>
                <w:color w:val="000000"/>
                <w:sz w:val="19"/>
                <w:szCs w:val="19"/>
              </w:rPr>
              <w:t>Цена на електроенергия – максимален сценарий</w:t>
            </w:r>
          </w:p>
        </w:tc>
        <w:tc>
          <w:tcPr>
            <w:tcW w:w="0" w:type="auto"/>
            <w:tcBorders>
              <w:top w:val="single" w:sz="4" w:space="0" w:color="auto"/>
              <w:left w:val="single" w:sz="12" w:space="0" w:color="auto"/>
            </w:tcBorders>
            <w:shd w:val="clear" w:color="auto" w:fill="auto"/>
            <w:noWrap/>
            <w:vAlign w:val="bottom"/>
            <w:hideMark/>
          </w:tcPr>
          <w:p w:rsidR="005E2F18" w:rsidRPr="005205EA" w:rsidRDefault="005E2F18" w:rsidP="00E44C19">
            <w:pPr>
              <w:spacing w:after="0" w:line="240" w:lineRule="auto"/>
              <w:jc w:val="right"/>
              <w:rPr>
                <w:rFonts w:ascii="Times New Roman" w:eastAsia="Times New Roman" w:hAnsi="Times New Roman" w:cs="Times New Roman"/>
                <w:color w:val="000000"/>
                <w:sz w:val="19"/>
                <w:szCs w:val="19"/>
              </w:rPr>
            </w:pPr>
            <w:r w:rsidRPr="005205EA">
              <w:rPr>
                <w:rFonts w:ascii="Times New Roman" w:hAnsi="Times New Roman" w:cs="Times New Roman"/>
                <w:sz w:val="19"/>
                <w:szCs w:val="19"/>
              </w:rPr>
              <w:t>71</w:t>
            </w:r>
            <w:r w:rsidR="00E6666C">
              <w:rPr>
                <w:rFonts w:ascii="Times New Roman" w:hAnsi="Times New Roman" w:cs="Times New Roman"/>
                <w:sz w:val="19"/>
                <w:szCs w:val="19"/>
              </w:rPr>
              <w:t>,</w:t>
            </w:r>
            <w:r w:rsidRPr="005205EA">
              <w:rPr>
                <w:rFonts w:ascii="Times New Roman" w:hAnsi="Times New Roman" w:cs="Times New Roman"/>
                <w:sz w:val="19"/>
                <w:szCs w:val="19"/>
              </w:rPr>
              <w:t>06</w:t>
            </w:r>
          </w:p>
        </w:tc>
        <w:tc>
          <w:tcPr>
            <w:tcW w:w="0" w:type="auto"/>
            <w:tcBorders>
              <w:top w:val="single" w:sz="4" w:space="0" w:color="auto"/>
            </w:tcBorders>
            <w:shd w:val="clear" w:color="auto" w:fill="auto"/>
            <w:noWrap/>
            <w:vAlign w:val="bottom"/>
          </w:tcPr>
          <w:p w:rsidR="005E2F18" w:rsidRPr="00217F59" w:rsidRDefault="005E2F18" w:rsidP="00E44C19">
            <w:pPr>
              <w:spacing w:after="0" w:line="240" w:lineRule="auto"/>
              <w:jc w:val="right"/>
              <w:rPr>
                <w:rFonts w:ascii="Times New Roman" w:eastAsia="Times New Roman" w:hAnsi="Times New Roman" w:cs="Times New Roman"/>
                <w:sz w:val="19"/>
                <w:szCs w:val="19"/>
              </w:rPr>
            </w:pPr>
            <w:r w:rsidRPr="00DB1A1E">
              <w:rPr>
                <w:rFonts w:ascii="Times New Roman" w:eastAsia="Times New Roman" w:hAnsi="Times New Roman" w:cs="Times New Roman"/>
                <w:sz w:val="19"/>
                <w:szCs w:val="19"/>
              </w:rPr>
              <w:t>77</w:t>
            </w:r>
            <w:r w:rsidR="00E6666C">
              <w:rPr>
                <w:rFonts w:ascii="Times New Roman" w:eastAsia="Times New Roman" w:hAnsi="Times New Roman" w:cs="Times New Roman"/>
                <w:sz w:val="19"/>
                <w:szCs w:val="19"/>
              </w:rPr>
              <w:t>,</w:t>
            </w:r>
            <w:r w:rsidRPr="00DB1A1E">
              <w:rPr>
                <w:rFonts w:ascii="Times New Roman" w:eastAsia="Times New Roman" w:hAnsi="Times New Roman" w:cs="Times New Roman"/>
                <w:sz w:val="19"/>
                <w:szCs w:val="19"/>
              </w:rPr>
              <w:t>14</w:t>
            </w:r>
          </w:p>
        </w:tc>
        <w:tc>
          <w:tcPr>
            <w:tcW w:w="0" w:type="auto"/>
            <w:tcBorders>
              <w:top w:val="single" w:sz="4" w:space="0" w:color="auto"/>
            </w:tcBorders>
            <w:shd w:val="clear" w:color="auto" w:fill="auto"/>
            <w:noWrap/>
            <w:vAlign w:val="bottom"/>
          </w:tcPr>
          <w:p w:rsidR="005E2F18" w:rsidRPr="00217F59" w:rsidRDefault="005E2F18" w:rsidP="00E44C19">
            <w:pPr>
              <w:spacing w:after="0" w:line="240" w:lineRule="auto"/>
              <w:jc w:val="right"/>
              <w:rPr>
                <w:rFonts w:ascii="Times New Roman" w:eastAsia="Times New Roman" w:hAnsi="Times New Roman" w:cs="Times New Roman"/>
                <w:sz w:val="19"/>
                <w:szCs w:val="19"/>
              </w:rPr>
            </w:pPr>
            <w:r w:rsidRPr="00DB1A1E">
              <w:rPr>
                <w:rFonts w:ascii="Times New Roman" w:eastAsia="Times New Roman" w:hAnsi="Times New Roman" w:cs="Times New Roman"/>
                <w:sz w:val="19"/>
                <w:szCs w:val="19"/>
              </w:rPr>
              <w:t>81</w:t>
            </w:r>
            <w:r w:rsidR="00E6666C">
              <w:rPr>
                <w:rFonts w:ascii="Times New Roman" w:eastAsia="Times New Roman" w:hAnsi="Times New Roman" w:cs="Times New Roman"/>
                <w:sz w:val="19"/>
                <w:szCs w:val="19"/>
              </w:rPr>
              <w:t>,</w:t>
            </w:r>
            <w:r w:rsidRPr="00DB1A1E">
              <w:rPr>
                <w:rFonts w:ascii="Times New Roman" w:eastAsia="Times New Roman" w:hAnsi="Times New Roman" w:cs="Times New Roman"/>
                <w:sz w:val="19"/>
                <w:szCs w:val="19"/>
              </w:rPr>
              <w:t>17</w:t>
            </w:r>
          </w:p>
        </w:tc>
      </w:tr>
      <w:tr w:rsidR="005E2F18" w:rsidRPr="005205EA" w:rsidTr="005205EA">
        <w:tc>
          <w:tcPr>
            <w:tcW w:w="0" w:type="auto"/>
            <w:tcBorders>
              <w:right w:val="single" w:sz="12" w:space="0" w:color="auto"/>
            </w:tcBorders>
            <w:shd w:val="clear" w:color="auto" w:fill="auto"/>
            <w:noWrap/>
            <w:vAlign w:val="bottom"/>
            <w:hideMark/>
          </w:tcPr>
          <w:p w:rsidR="005E2F18" w:rsidRPr="005205EA" w:rsidRDefault="005E2F18" w:rsidP="00E44C19">
            <w:pPr>
              <w:spacing w:after="0" w:line="240" w:lineRule="auto"/>
              <w:ind w:left="219"/>
              <w:rPr>
                <w:rFonts w:ascii="Times New Roman" w:eastAsia="Times New Roman" w:hAnsi="Times New Roman" w:cs="Times New Roman"/>
                <w:color w:val="000000"/>
                <w:sz w:val="19"/>
                <w:szCs w:val="19"/>
              </w:rPr>
            </w:pPr>
            <w:r w:rsidRPr="005205EA">
              <w:rPr>
                <w:rFonts w:ascii="Times New Roman" w:eastAsia="Times New Roman" w:hAnsi="Times New Roman" w:cs="Times New Roman"/>
                <w:color w:val="000000"/>
                <w:sz w:val="19"/>
                <w:szCs w:val="19"/>
              </w:rPr>
              <w:t>Цена на електроенергия – минимален сценарий</w:t>
            </w:r>
          </w:p>
        </w:tc>
        <w:tc>
          <w:tcPr>
            <w:tcW w:w="0" w:type="auto"/>
            <w:tcBorders>
              <w:left w:val="single" w:sz="12" w:space="0" w:color="auto"/>
            </w:tcBorders>
            <w:shd w:val="clear" w:color="auto" w:fill="auto"/>
            <w:noWrap/>
            <w:vAlign w:val="bottom"/>
            <w:hideMark/>
          </w:tcPr>
          <w:p w:rsidR="005E2F18" w:rsidRPr="005205EA" w:rsidRDefault="005E2F18" w:rsidP="00E44C19">
            <w:pPr>
              <w:spacing w:after="0" w:line="240" w:lineRule="auto"/>
              <w:jc w:val="right"/>
              <w:rPr>
                <w:rFonts w:ascii="Times New Roman" w:eastAsia="Times New Roman" w:hAnsi="Times New Roman" w:cs="Times New Roman"/>
                <w:color w:val="000000"/>
                <w:sz w:val="19"/>
                <w:szCs w:val="19"/>
              </w:rPr>
            </w:pPr>
            <w:r w:rsidRPr="005205EA">
              <w:rPr>
                <w:rFonts w:ascii="Times New Roman" w:hAnsi="Times New Roman" w:cs="Times New Roman"/>
                <w:color w:val="000000"/>
                <w:sz w:val="19"/>
                <w:szCs w:val="19"/>
              </w:rPr>
              <w:t>56</w:t>
            </w:r>
            <w:r w:rsidR="00E6666C">
              <w:rPr>
                <w:rFonts w:ascii="Times New Roman" w:hAnsi="Times New Roman" w:cs="Times New Roman"/>
                <w:color w:val="000000"/>
                <w:sz w:val="19"/>
                <w:szCs w:val="19"/>
              </w:rPr>
              <w:t>,</w:t>
            </w:r>
            <w:r w:rsidRPr="005205EA">
              <w:rPr>
                <w:rFonts w:ascii="Times New Roman" w:hAnsi="Times New Roman" w:cs="Times New Roman"/>
                <w:color w:val="000000"/>
                <w:sz w:val="19"/>
                <w:szCs w:val="19"/>
              </w:rPr>
              <w:t>72</w:t>
            </w:r>
          </w:p>
        </w:tc>
        <w:tc>
          <w:tcPr>
            <w:tcW w:w="0" w:type="auto"/>
            <w:shd w:val="clear" w:color="auto" w:fill="auto"/>
            <w:noWrap/>
            <w:vAlign w:val="bottom"/>
          </w:tcPr>
          <w:p w:rsidR="005E2F18" w:rsidRPr="00217F59" w:rsidRDefault="005E2F18" w:rsidP="00E44C19">
            <w:pPr>
              <w:spacing w:after="0" w:line="240" w:lineRule="auto"/>
              <w:jc w:val="right"/>
              <w:rPr>
                <w:rFonts w:ascii="Times New Roman" w:eastAsia="Times New Roman" w:hAnsi="Times New Roman" w:cs="Times New Roman"/>
                <w:sz w:val="19"/>
                <w:szCs w:val="19"/>
              </w:rPr>
            </w:pPr>
            <w:r w:rsidRPr="00DB1A1E">
              <w:rPr>
                <w:rFonts w:ascii="Times New Roman" w:eastAsia="Times New Roman" w:hAnsi="Times New Roman" w:cs="Times New Roman"/>
                <w:sz w:val="19"/>
                <w:szCs w:val="19"/>
              </w:rPr>
              <w:t>59</w:t>
            </w:r>
            <w:r w:rsidR="00E6666C">
              <w:rPr>
                <w:rFonts w:ascii="Times New Roman" w:eastAsia="Times New Roman" w:hAnsi="Times New Roman" w:cs="Times New Roman"/>
                <w:sz w:val="19"/>
                <w:szCs w:val="19"/>
              </w:rPr>
              <w:t>,</w:t>
            </w:r>
            <w:r w:rsidRPr="00DB1A1E">
              <w:rPr>
                <w:rFonts w:ascii="Times New Roman" w:eastAsia="Times New Roman" w:hAnsi="Times New Roman" w:cs="Times New Roman"/>
                <w:sz w:val="19"/>
                <w:szCs w:val="19"/>
              </w:rPr>
              <w:t>22</w:t>
            </w:r>
          </w:p>
        </w:tc>
        <w:tc>
          <w:tcPr>
            <w:tcW w:w="0" w:type="auto"/>
            <w:shd w:val="clear" w:color="auto" w:fill="auto"/>
            <w:noWrap/>
            <w:vAlign w:val="bottom"/>
          </w:tcPr>
          <w:p w:rsidR="005E2F18" w:rsidRPr="00217F59" w:rsidRDefault="005E2F18" w:rsidP="00E44C19">
            <w:pPr>
              <w:spacing w:after="0" w:line="240" w:lineRule="auto"/>
              <w:jc w:val="right"/>
              <w:rPr>
                <w:rFonts w:ascii="Times New Roman" w:eastAsia="Times New Roman" w:hAnsi="Times New Roman" w:cs="Times New Roman"/>
                <w:sz w:val="19"/>
                <w:szCs w:val="19"/>
              </w:rPr>
            </w:pPr>
            <w:r w:rsidRPr="00DB1A1E">
              <w:rPr>
                <w:rFonts w:ascii="Times New Roman" w:eastAsia="Times New Roman" w:hAnsi="Times New Roman" w:cs="Times New Roman"/>
                <w:sz w:val="19"/>
                <w:szCs w:val="19"/>
              </w:rPr>
              <w:t>61</w:t>
            </w:r>
            <w:r w:rsidR="00E6666C">
              <w:rPr>
                <w:rFonts w:ascii="Times New Roman" w:eastAsia="Times New Roman" w:hAnsi="Times New Roman" w:cs="Times New Roman"/>
                <w:sz w:val="19"/>
                <w:szCs w:val="19"/>
              </w:rPr>
              <w:t>,</w:t>
            </w:r>
            <w:r w:rsidRPr="00DB1A1E">
              <w:rPr>
                <w:rFonts w:ascii="Times New Roman" w:eastAsia="Times New Roman" w:hAnsi="Times New Roman" w:cs="Times New Roman"/>
                <w:sz w:val="19"/>
                <w:szCs w:val="19"/>
              </w:rPr>
              <w:t>41</w:t>
            </w:r>
          </w:p>
        </w:tc>
      </w:tr>
      <w:tr w:rsidR="005E2F18" w:rsidRPr="005205EA" w:rsidTr="005205EA">
        <w:tc>
          <w:tcPr>
            <w:tcW w:w="0" w:type="auto"/>
            <w:tcBorders>
              <w:bottom w:val="single" w:sz="12" w:space="0" w:color="auto"/>
              <w:right w:val="single" w:sz="12" w:space="0" w:color="auto"/>
            </w:tcBorders>
            <w:shd w:val="clear" w:color="auto" w:fill="auto"/>
            <w:noWrap/>
            <w:vAlign w:val="bottom"/>
            <w:hideMark/>
          </w:tcPr>
          <w:p w:rsidR="005E2F18" w:rsidRPr="005205EA" w:rsidRDefault="005E2F18" w:rsidP="00E44C19">
            <w:pPr>
              <w:spacing w:after="0" w:line="240" w:lineRule="auto"/>
              <w:ind w:left="219"/>
              <w:rPr>
                <w:rFonts w:ascii="Times New Roman" w:eastAsia="Times New Roman" w:hAnsi="Times New Roman" w:cs="Times New Roman"/>
                <w:color w:val="000000"/>
                <w:sz w:val="19"/>
                <w:szCs w:val="19"/>
              </w:rPr>
            </w:pPr>
            <w:r w:rsidRPr="005205EA">
              <w:rPr>
                <w:rFonts w:ascii="Times New Roman" w:eastAsia="Times New Roman" w:hAnsi="Times New Roman" w:cs="Times New Roman"/>
                <w:color w:val="000000"/>
                <w:sz w:val="19"/>
                <w:szCs w:val="19"/>
              </w:rPr>
              <w:t>Цена на електроенергия – среден сценарий</w:t>
            </w:r>
          </w:p>
        </w:tc>
        <w:tc>
          <w:tcPr>
            <w:tcW w:w="0" w:type="auto"/>
            <w:tcBorders>
              <w:left w:val="single" w:sz="12" w:space="0" w:color="auto"/>
              <w:bottom w:val="single" w:sz="12" w:space="0" w:color="auto"/>
            </w:tcBorders>
            <w:shd w:val="clear" w:color="auto" w:fill="auto"/>
            <w:noWrap/>
            <w:vAlign w:val="bottom"/>
            <w:hideMark/>
          </w:tcPr>
          <w:p w:rsidR="005E2F18" w:rsidRPr="005205EA" w:rsidRDefault="005E2F18" w:rsidP="00E44C19">
            <w:pPr>
              <w:spacing w:after="0" w:line="240" w:lineRule="auto"/>
              <w:jc w:val="right"/>
              <w:rPr>
                <w:rFonts w:ascii="Times New Roman" w:eastAsia="Times New Roman" w:hAnsi="Times New Roman" w:cs="Times New Roman"/>
                <w:sz w:val="19"/>
                <w:szCs w:val="19"/>
              </w:rPr>
            </w:pPr>
            <w:r w:rsidRPr="005205EA">
              <w:rPr>
                <w:rFonts w:ascii="Times New Roman" w:hAnsi="Times New Roman" w:cs="Times New Roman"/>
                <w:sz w:val="19"/>
                <w:szCs w:val="19"/>
              </w:rPr>
              <w:t>63</w:t>
            </w:r>
            <w:r w:rsidR="00E6666C">
              <w:rPr>
                <w:rFonts w:ascii="Times New Roman" w:hAnsi="Times New Roman" w:cs="Times New Roman"/>
                <w:sz w:val="19"/>
                <w:szCs w:val="19"/>
              </w:rPr>
              <w:t>,</w:t>
            </w:r>
            <w:r w:rsidRPr="005205EA">
              <w:rPr>
                <w:rFonts w:ascii="Times New Roman" w:hAnsi="Times New Roman" w:cs="Times New Roman"/>
                <w:sz w:val="19"/>
                <w:szCs w:val="19"/>
              </w:rPr>
              <w:t>89</w:t>
            </w:r>
          </w:p>
        </w:tc>
        <w:tc>
          <w:tcPr>
            <w:tcW w:w="0" w:type="auto"/>
            <w:tcBorders>
              <w:bottom w:val="single" w:sz="12" w:space="0" w:color="auto"/>
            </w:tcBorders>
            <w:shd w:val="clear" w:color="auto" w:fill="auto"/>
            <w:noWrap/>
            <w:vAlign w:val="bottom"/>
          </w:tcPr>
          <w:p w:rsidR="005E2F18" w:rsidRPr="00217F59" w:rsidRDefault="005E2F18" w:rsidP="00E44C19">
            <w:pPr>
              <w:spacing w:after="0" w:line="240" w:lineRule="auto"/>
              <w:jc w:val="right"/>
              <w:rPr>
                <w:rFonts w:ascii="Times New Roman" w:eastAsia="Times New Roman" w:hAnsi="Times New Roman" w:cs="Times New Roman"/>
                <w:sz w:val="19"/>
                <w:szCs w:val="19"/>
              </w:rPr>
            </w:pPr>
            <w:r w:rsidRPr="00DB1A1E">
              <w:rPr>
                <w:rFonts w:ascii="Times New Roman" w:eastAsia="Times New Roman" w:hAnsi="Times New Roman" w:cs="Times New Roman"/>
                <w:sz w:val="19"/>
                <w:szCs w:val="19"/>
              </w:rPr>
              <w:t>68</w:t>
            </w:r>
            <w:r w:rsidR="00E6666C">
              <w:rPr>
                <w:rFonts w:ascii="Times New Roman" w:eastAsia="Times New Roman" w:hAnsi="Times New Roman" w:cs="Times New Roman"/>
                <w:sz w:val="19"/>
                <w:szCs w:val="19"/>
              </w:rPr>
              <w:t>,</w:t>
            </w:r>
            <w:r w:rsidRPr="00DB1A1E">
              <w:rPr>
                <w:rFonts w:ascii="Times New Roman" w:eastAsia="Times New Roman" w:hAnsi="Times New Roman" w:cs="Times New Roman"/>
                <w:sz w:val="19"/>
                <w:szCs w:val="19"/>
              </w:rPr>
              <w:t>18</w:t>
            </w:r>
          </w:p>
        </w:tc>
        <w:tc>
          <w:tcPr>
            <w:tcW w:w="0" w:type="auto"/>
            <w:tcBorders>
              <w:bottom w:val="single" w:sz="12" w:space="0" w:color="auto"/>
            </w:tcBorders>
            <w:shd w:val="clear" w:color="auto" w:fill="auto"/>
            <w:noWrap/>
            <w:vAlign w:val="bottom"/>
          </w:tcPr>
          <w:p w:rsidR="005E2F18" w:rsidRPr="00217F59" w:rsidRDefault="005E2F18" w:rsidP="00E44C19">
            <w:pPr>
              <w:spacing w:after="0" w:line="240" w:lineRule="auto"/>
              <w:jc w:val="right"/>
              <w:rPr>
                <w:rFonts w:ascii="Times New Roman" w:eastAsia="Times New Roman" w:hAnsi="Times New Roman" w:cs="Times New Roman"/>
                <w:sz w:val="19"/>
                <w:szCs w:val="19"/>
              </w:rPr>
            </w:pPr>
            <w:r w:rsidRPr="00DB1A1E">
              <w:rPr>
                <w:rFonts w:ascii="Times New Roman" w:eastAsia="Times New Roman" w:hAnsi="Times New Roman" w:cs="Times New Roman"/>
                <w:sz w:val="19"/>
                <w:szCs w:val="19"/>
              </w:rPr>
              <w:t>71</w:t>
            </w:r>
            <w:r w:rsidR="00E6666C">
              <w:rPr>
                <w:rFonts w:ascii="Times New Roman" w:eastAsia="Times New Roman" w:hAnsi="Times New Roman" w:cs="Times New Roman"/>
                <w:sz w:val="19"/>
                <w:szCs w:val="19"/>
              </w:rPr>
              <w:t>,</w:t>
            </w:r>
            <w:r w:rsidRPr="00DB1A1E">
              <w:rPr>
                <w:rFonts w:ascii="Times New Roman" w:eastAsia="Times New Roman" w:hAnsi="Times New Roman" w:cs="Times New Roman"/>
                <w:sz w:val="19"/>
                <w:szCs w:val="19"/>
              </w:rPr>
              <w:t>29</w:t>
            </w:r>
          </w:p>
        </w:tc>
      </w:tr>
      <w:tr w:rsidR="00950BDF" w:rsidRPr="005205EA" w:rsidTr="005205EA">
        <w:tc>
          <w:tcPr>
            <w:tcW w:w="0" w:type="auto"/>
            <w:tcBorders>
              <w:top w:val="single" w:sz="12" w:space="0" w:color="auto"/>
              <w:bottom w:val="single" w:sz="4" w:space="0" w:color="auto"/>
              <w:right w:val="single" w:sz="12" w:space="0" w:color="auto"/>
            </w:tcBorders>
            <w:shd w:val="clear" w:color="000000" w:fill="FFFFFF"/>
            <w:noWrap/>
            <w:vAlign w:val="bottom"/>
            <w:hideMark/>
          </w:tcPr>
          <w:p w:rsidR="00950BDF" w:rsidRPr="005205EA" w:rsidRDefault="00950BDF" w:rsidP="00E44C19">
            <w:pPr>
              <w:spacing w:after="0" w:line="240" w:lineRule="auto"/>
              <w:rPr>
                <w:rFonts w:ascii="Times New Roman" w:eastAsia="Times New Roman" w:hAnsi="Times New Roman" w:cs="Times New Roman"/>
                <w:b/>
                <w:bCs/>
                <w:color w:val="000000"/>
                <w:sz w:val="19"/>
                <w:szCs w:val="19"/>
              </w:rPr>
            </w:pPr>
            <w:r w:rsidRPr="005205EA">
              <w:rPr>
                <w:rFonts w:ascii="Times New Roman" w:eastAsia="Times New Roman" w:hAnsi="Times New Roman" w:cs="Times New Roman"/>
                <w:b/>
                <w:bCs/>
                <w:color w:val="000000"/>
                <w:sz w:val="19"/>
                <w:szCs w:val="19"/>
              </w:rPr>
              <w:t>Цени на регионален пазар</w:t>
            </w:r>
          </w:p>
        </w:tc>
        <w:tc>
          <w:tcPr>
            <w:tcW w:w="0" w:type="auto"/>
            <w:tcBorders>
              <w:top w:val="single" w:sz="12" w:space="0" w:color="auto"/>
              <w:left w:val="single" w:sz="12" w:space="0" w:color="auto"/>
              <w:bottom w:val="single" w:sz="4" w:space="0" w:color="auto"/>
            </w:tcBorders>
            <w:shd w:val="clear" w:color="000000" w:fill="FFFFFF"/>
            <w:noWrap/>
            <w:vAlign w:val="bottom"/>
            <w:hideMark/>
          </w:tcPr>
          <w:p w:rsidR="00950BDF" w:rsidRPr="005205EA" w:rsidRDefault="00950BDF" w:rsidP="00E44C19">
            <w:pPr>
              <w:spacing w:after="0" w:line="240" w:lineRule="auto"/>
              <w:rPr>
                <w:rFonts w:ascii="Times New Roman" w:eastAsia="Times New Roman" w:hAnsi="Times New Roman" w:cs="Times New Roman"/>
                <w:sz w:val="19"/>
                <w:szCs w:val="19"/>
              </w:rPr>
            </w:pPr>
            <w:r w:rsidRPr="005205EA">
              <w:rPr>
                <w:rFonts w:ascii="Times New Roman" w:eastAsia="Times New Roman" w:hAnsi="Times New Roman" w:cs="Times New Roman"/>
                <w:sz w:val="19"/>
                <w:szCs w:val="19"/>
              </w:rPr>
              <w:t> </w:t>
            </w:r>
          </w:p>
        </w:tc>
        <w:tc>
          <w:tcPr>
            <w:tcW w:w="0" w:type="auto"/>
            <w:tcBorders>
              <w:top w:val="single" w:sz="12" w:space="0" w:color="auto"/>
              <w:bottom w:val="single" w:sz="4" w:space="0" w:color="auto"/>
            </w:tcBorders>
            <w:shd w:val="clear" w:color="000000" w:fill="FFFFFF"/>
            <w:noWrap/>
            <w:vAlign w:val="bottom"/>
            <w:hideMark/>
          </w:tcPr>
          <w:p w:rsidR="00950BDF" w:rsidRPr="00217F59" w:rsidRDefault="00950BDF" w:rsidP="00E44C19">
            <w:pPr>
              <w:spacing w:after="0" w:line="240" w:lineRule="auto"/>
              <w:rPr>
                <w:rFonts w:ascii="Times New Roman" w:eastAsia="Times New Roman" w:hAnsi="Times New Roman" w:cs="Times New Roman"/>
                <w:sz w:val="19"/>
                <w:szCs w:val="19"/>
              </w:rPr>
            </w:pPr>
            <w:r w:rsidRPr="00217F59">
              <w:rPr>
                <w:rFonts w:ascii="Times New Roman" w:eastAsia="Times New Roman" w:hAnsi="Times New Roman" w:cs="Times New Roman"/>
                <w:sz w:val="19"/>
                <w:szCs w:val="19"/>
              </w:rPr>
              <w:t> </w:t>
            </w:r>
          </w:p>
        </w:tc>
        <w:tc>
          <w:tcPr>
            <w:tcW w:w="0" w:type="auto"/>
            <w:tcBorders>
              <w:top w:val="single" w:sz="12" w:space="0" w:color="auto"/>
              <w:bottom w:val="single" w:sz="4" w:space="0" w:color="auto"/>
            </w:tcBorders>
            <w:shd w:val="clear" w:color="000000" w:fill="FFFFFF"/>
            <w:noWrap/>
            <w:vAlign w:val="bottom"/>
            <w:hideMark/>
          </w:tcPr>
          <w:p w:rsidR="00950BDF" w:rsidRPr="002C45EF" w:rsidRDefault="00950BDF" w:rsidP="00E44C19">
            <w:pPr>
              <w:spacing w:after="0" w:line="240" w:lineRule="auto"/>
              <w:rPr>
                <w:rFonts w:ascii="Times New Roman" w:eastAsia="Times New Roman" w:hAnsi="Times New Roman" w:cs="Times New Roman"/>
                <w:sz w:val="19"/>
                <w:szCs w:val="19"/>
              </w:rPr>
            </w:pPr>
            <w:r w:rsidRPr="002C45EF">
              <w:rPr>
                <w:rFonts w:ascii="Times New Roman" w:eastAsia="Times New Roman" w:hAnsi="Times New Roman" w:cs="Times New Roman"/>
                <w:sz w:val="19"/>
                <w:szCs w:val="19"/>
              </w:rPr>
              <w:t> </w:t>
            </w:r>
          </w:p>
        </w:tc>
      </w:tr>
      <w:tr w:rsidR="00950BDF" w:rsidRPr="005205EA" w:rsidTr="005205EA">
        <w:tc>
          <w:tcPr>
            <w:tcW w:w="0" w:type="auto"/>
            <w:tcBorders>
              <w:top w:val="single" w:sz="4" w:space="0" w:color="auto"/>
              <w:right w:val="single" w:sz="12" w:space="0" w:color="auto"/>
            </w:tcBorders>
            <w:shd w:val="clear" w:color="000000" w:fill="FFFFFF"/>
            <w:vAlign w:val="bottom"/>
            <w:hideMark/>
          </w:tcPr>
          <w:p w:rsidR="00950BDF" w:rsidRPr="005205EA" w:rsidRDefault="00950BDF" w:rsidP="00E44C19">
            <w:pPr>
              <w:spacing w:after="0" w:line="240" w:lineRule="auto"/>
              <w:ind w:left="219"/>
              <w:rPr>
                <w:rFonts w:ascii="Times New Roman" w:eastAsia="Times New Roman" w:hAnsi="Times New Roman" w:cs="Times New Roman"/>
                <w:color w:val="000000"/>
                <w:sz w:val="19"/>
                <w:szCs w:val="19"/>
              </w:rPr>
            </w:pPr>
            <w:r w:rsidRPr="005205EA">
              <w:rPr>
                <w:rFonts w:ascii="Times New Roman" w:eastAsia="Times New Roman" w:hAnsi="Times New Roman" w:cs="Times New Roman"/>
                <w:color w:val="000000"/>
                <w:sz w:val="19"/>
                <w:szCs w:val="19"/>
              </w:rPr>
              <w:t>Среднопретеглена регионална цена само за България, Гърция, Румъния и Унгария</w:t>
            </w:r>
          </w:p>
          <w:p w:rsidR="00950BDF" w:rsidRPr="005205EA" w:rsidRDefault="00950BDF" w:rsidP="00E44C19">
            <w:pPr>
              <w:spacing w:after="0" w:line="240" w:lineRule="auto"/>
              <w:ind w:left="219"/>
              <w:rPr>
                <w:rFonts w:ascii="Times New Roman" w:eastAsia="Times New Roman" w:hAnsi="Times New Roman" w:cs="Times New Roman"/>
                <w:color w:val="000000"/>
                <w:sz w:val="19"/>
                <w:szCs w:val="19"/>
              </w:rPr>
            </w:pPr>
            <w:r w:rsidRPr="005205EA">
              <w:rPr>
                <w:rFonts w:ascii="Times New Roman" w:eastAsia="Times New Roman" w:hAnsi="Times New Roman" w:cs="Times New Roman"/>
                <w:color w:val="000000"/>
                <w:sz w:val="19"/>
                <w:szCs w:val="19"/>
              </w:rPr>
              <w:t xml:space="preserve">Сценарий 3 </w:t>
            </w:r>
            <w:r w:rsidR="009E067D" w:rsidRPr="005205EA">
              <w:rPr>
                <w:rFonts w:ascii="Times New Roman" w:eastAsia="Times New Roman" w:hAnsi="Times New Roman" w:cs="Times New Roman"/>
                <w:color w:val="000000"/>
                <w:sz w:val="19"/>
                <w:szCs w:val="19"/>
              </w:rPr>
              <w:t>–</w:t>
            </w:r>
            <w:r w:rsidRPr="005205EA">
              <w:rPr>
                <w:rFonts w:ascii="Times New Roman" w:eastAsia="Times New Roman" w:hAnsi="Times New Roman" w:cs="Times New Roman"/>
                <w:color w:val="000000"/>
                <w:sz w:val="19"/>
                <w:szCs w:val="19"/>
              </w:rPr>
              <w:t xml:space="preserve"> Конвергенция само между страните в ЕС при ниска въглеродна интензивност</w:t>
            </w:r>
          </w:p>
        </w:tc>
        <w:tc>
          <w:tcPr>
            <w:tcW w:w="0" w:type="auto"/>
            <w:tcBorders>
              <w:top w:val="single" w:sz="4" w:space="0" w:color="auto"/>
              <w:left w:val="single" w:sz="12" w:space="0" w:color="auto"/>
            </w:tcBorders>
            <w:shd w:val="clear" w:color="000000" w:fill="FFFFFF"/>
            <w:noWrap/>
            <w:vAlign w:val="bottom"/>
          </w:tcPr>
          <w:p w:rsidR="00950BDF" w:rsidRPr="005205EA" w:rsidRDefault="00950BDF" w:rsidP="00E44C19">
            <w:pPr>
              <w:spacing w:after="0" w:line="240" w:lineRule="auto"/>
              <w:jc w:val="right"/>
              <w:rPr>
                <w:rFonts w:ascii="Times New Roman" w:eastAsia="Times New Roman" w:hAnsi="Times New Roman" w:cs="Times New Roman"/>
                <w:color w:val="000000"/>
                <w:sz w:val="19"/>
                <w:szCs w:val="19"/>
              </w:rPr>
            </w:pPr>
            <w:r w:rsidRPr="005205EA">
              <w:rPr>
                <w:rFonts w:ascii="Times New Roman" w:hAnsi="Times New Roman" w:cs="Times New Roman"/>
                <w:color w:val="000000"/>
                <w:sz w:val="19"/>
                <w:szCs w:val="19"/>
              </w:rPr>
              <w:t>66</w:t>
            </w:r>
            <w:r w:rsidR="00E6666C">
              <w:rPr>
                <w:rFonts w:ascii="Times New Roman" w:hAnsi="Times New Roman" w:cs="Times New Roman"/>
                <w:color w:val="000000"/>
                <w:sz w:val="19"/>
                <w:szCs w:val="19"/>
              </w:rPr>
              <w:t>,</w:t>
            </w:r>
            <w:r w:rsidRPr="005205EA">
              <w:rPr>
                <w:rFonts w:ascii="Times New Roman" w:hAnsi="Times New Roman" w:cs="Times New Roman"/>
                <w:color w:val="000000"/>
                <w:sz w:val="19"/>
                <w:szCs w:val="19"/>
              </w:rPr>
              <w:t>07</w:t>
            </w:r>
          </w:p>
        </w:tc>
        <w:tc>
          <w:tcPr>
            <w:tcW w:w="0" w:type="auto"/>
            <w:tcBorders>
              <w:top w:val="single" w:sz="4" w:space="0" w:color="auto"/>
            </w:tcBorders>
            <w:shd w:val="clear" w:color="000000" w:fill="FFFFFF"/>
            <w:noWrap/>
            <w:vAlign w:val="bottom"/>
          </w:tcPr>
          <w:p w:rsidR="00950BDF" w:rsidRPr="005205EA" w:rsidRDefault="00950BDF" w:rsidP="00E44C19">
            <w:pPr>
              <w:spacing w:after="0" w:line="240" w:lineRule="auto"/>
              <w:jc w:val="right"/>
              <w:rPr>
                <w:rFonts w:ascii="Times New Roman" w:eastAsia="Times New Roman" w:hAnsi="Times New Roman" w:cs="Times New Roman"/>
                <w:color w:val="000000"/>
                <w:sz w:val="19"/>
                <w:szCs w:val="19"/>
              </w:rPr>
            </w:pPr>
            <w:r w:rsidRPr="005205EA">
              <w:rPr>
                <w:rFonts w:ascii="Times New Roman" w:hAnsi="Times New Roman" w:cs="Times New Roman"/>
                <w:color w:val="000000"/>
                <w:sz w:val="19"/>
                <w:szCs w:val="19"/>
              </w:rPr>
              <w:t>71</w:t>
            </w:r>
            <w:r w:rsidR="00E6666C">
              <w:rPr>
                <w:rFonts w:ascii="Times New Roman" w:hAnsi="Times New Roman" w:cs="Times New Roman"/>
                <w:color w:val="000000"/>
                <w:sz w:val="19"/>
                <w:szCs w:val="19"/>
              </w:rPr>
              <w:t>,</w:t>
            </w:r>
            <w:r w:rsidRPr="005205EA">
              <w:rPr>
                <w:rFonts w:ascii="Times New Roman" w:hAnsi="Times New Roman" w:cs="Times New Roman"/>
                <w:color w:val="000000"/>
                <w:sz w:val="19"/>
                <w:szCs w:val="19"/>
              </w:rPr>
              <w:t>39</w:t>
            </w:r>
          </w:p>
        </w:tc>
        <w:tc>
          <w:tcPr>
            <w:tcW w:w="0" w:type="auto"/>
            <w:tcBorders>
              <w:top w:val="single" w:sz="4" w:space="0" w:color="auto"/>
            </w:tcBorders>
            <w:shd w:val="clear" w:color="000000" w:fill="FFFFFF"/>
            <w:noWrap/>
            <w:vAlign w:val="bottom"/>
          </w:tcPr>
          <w:p w:rsidR="00950BDF" w:rsidRPr="005205EA" w:rsidRDefault="00950BDF" w:rsidP="00E44C19">
            <w:pPr>
              <w:spacing w:after="0" w:line="240" w:lineRule="auto"/>
              <w:jc w:val="right"/>
              <w:rPr>
                <w:rFonts w:ascii="Times New Roman" w:eastAsia="Times New Roman" w:hAnsi="Times New Roman" w:cs="Times New Roman"/>
                <w:color w:val="000000"/>
                <w:sz w:val="19"/>
                <w:szCs w:val="19"/>
              </w:rPr>
            </w:pPr>
            <w:r w:rsidRPr="005205EA">
              <w:rPr>
                <w:rFonts w:ascii="Times New Roman" w:hAnsi="Times New Roman" w:cs="Times New Roman"/>
                <w:color w:val="000000"/>
                <w:sz w:val="19"/>
                <w:szCs w:val="19"/>
              </w:rPr>
              <w:t>75</w:t>
            </w:r>
            <w:r w:rsidR="00E6666C">
              <w:rPr>
                <w:rFonts w:ascii="Times New Roman" w:hAnsi="Times New Roman" w:cs="Times New Roman"/>
                <w:color w:val="000000"/>
                <w:sz w:val="19"/>
                <w:szCs w:val="19"/>
              </w:rPr>
              <w:t>,</w:t>
            </w:r>
            <w:r w:rsidRPr="005205EA">
              <w:rPr>
                <w:rFonts w:ascii="Times New Roman" w:hAnsi="Times New Roman" w:cs="Times New Roman"/>
                <w:color w:val="000000"/>
                <w:sz w:val="19"/>
                <w:szCs w:val="19"/>
              </w:rPr>
              <w:t>12</w:t>
            </w:r>
          </w:p>
        </w:tc>
      </w:tr>
      <w:tr w:rsidR="00950BDF" w:rsidRPr="005205EA" w:rsidTr="005205EA">
        <w:tc>
          <w:tcPr>
            <w:tcW w:w="0" w:type="auto"/>
            <w:tcBorders>
              <w:bottom w:val="single" w:sz="12" w:space="0" w:color="auto"/>
              <w:right w:val="single" w:sz="12" w:space="0" w:color="auto"/>
            </w:tcBorders>
            <w:shd w:val="clear" w:color="000000" w:fill="FFFFFF"/>
            <w:vAlign w:val="bottom"/>
            <w:hideMark/>
          </w:tcPr>
          <w:p w:rsidR="00950BDF" w:rsidRPr="005205EA" w:rsidRDefault="00950BDF" w:rsidP="00E44C19">
            <w:pPr>
              <w:spacing w:after="0" w:line="240" w:lineRule="auto"/>
              <w:ind w:left="219"/>
              <w:rPr>
                <w:rFonts w:ascii="Times New Roman" w:eastAsia="Times New Roman" w:hAnsi="Times New Roman" w:cs="Times New Roman"/>
                <w:color w:val="000000"/>
                <w:sz w:val="19"/>
                <w:szCs w:val="19"/>
              </w:rPr>
            </w:pPr>
            <w:r w:rsidRPr="005205EA">
              <w:rPr>
                <w:rFonts w:ascii="Times New Roman" w:eastAsia="Times New Roman" w:hAnsi="Times New Roman" w:cs="Times New Roman"/>
                <w:color w:val="000000"/>
                <w:sz w:val="19"/>
                <w:szCs w:val="19"/>
              </w:rPr>
              <w:t>Среднопретеглена регионална цена само за България, Гърция, Румъния и Унгария и частично за Сърбия и Турция</w:t>
            </w:r>
          </w:p>
          <w:p w:rsidR="00950BDF" w:rsidRPr="005205EA" w:rsidRDefault="00950BDF" w:rsidP="00E44C19">
            <w:pPr>
              <w:spacing w:after="0" w:line="240" w:lineRule="auto"/>
              <w:ind w:left="219"/>
              <w:rPr>
                <w:rFonts w:ascii="Times New Roman" w:eastAsia="Times New Roman" w:hAnsi="Times New Roman" w:cs="Times New Roman"/>
                <w:color w:val="000000"/>
                <w:sz w:val="19"/>
                <w:szCs w:val="19"/>
              </w:rPr>
            </w:pPr>
            <w:r w:rsidRPr="005205EA">
              <w:rPr>
                <w:rFonts w:ascii="Times New Roman" w:eastAsia="Times New Roman" w:hAnsi="Times New Roman" w:cs="Times New Roman"/>
                <w:color w:val="000000"/>
                <w:sz w:val="19"/>
                <w:szCs w:val="19"/>
              </w:rPr>
              <w:t xml:space="preserve">Сценарий 6 </w:t>
            </w:r>
            <w:r w:rsidR="009E067D" w:rsidRPr="005205EA">
              <w:rPr>
                <w:rFonts w:ascii="Times New Roman" w:eastAsia="Times New Roman" w:hAnsi="Times New Roman" w:cs="Times New Roman"/>
                <w:color w:val="000000"/>
                <w:sz w:val="19"/>
                <w:szCs w:val="19"/>
              </w:rPr>
              <w:t>–</w:t>
            </w:r>
            <w:r w:rsidRPr="005205EA">
              <w:rPr>
                <w:rFonts w:ascii="Times New Roman" w:eastAsia="Times New Roman" w:hAnsi="Times New Roman" w:cs="Times New Roman"/>
                <w:color w:val="000000"/>
                <w:sz w:val="19"/>
                <w:szCs w:val="19"/>
              </w:rPr>
              <w:t xml:space="preserve"> Конвергенция между страните в ЕС и частична с Турция и Сърбия при висока въглеродна интензивност</w:t>
            </w:r>
          </w:p>
        </w:tc>
        <w:tc>
          <w:tcPr>
            <w:tcW w:w="0" w:type="auto"/>
            <w:tcBorders>
              <w:left w:val="single" w:sz="12" w:space="0" w:color="auto"/>
            </w:tcBorders>
            <w:shd w:val="clear" w:color="000000" w:fill="FFFFFF"/>
            <w:noWrap/>
            <w:vAlign w:val="bottom"/>
          </w:tcPr>
          <w:p w:rsidR="00950BDF" w:rsidRPr="005205EA" w:rsidRDefault="00950BDF" w:rsidP="00E44C19">
            <w:pPr>
              <w:spacing w:after="0" w:line="240" w:lineRule="auto"/>
              <w:jc w:val="right"/>
              <w:rPr>
                <w:rFonts w:ascii="Times New Roman" w:eastAsia="Times New Roman" w:hAnsi="Times New Roman" w:cs="Times New Roman"/>
                <w:color w:val="000000"/>
                <w:sz w:val="19"/>
                <w:szCs w:val="19"/>
              </w:rPr>
            </w:pPr>
            <w:r w:rsidRPr="005205EA">
              <w:rPr>
                <w:rFonts w:ascii="Times New Roman" w:hAnsi="Times New Roman" w:cs="Times New Roman"/>
                <w:color w:val="000000"/>
                <w:sz w:val="19"/>
                <w:szCs w:val="19"/>
              </w:rPr>
              <w:t>70</w:t>
            </w:r>
            <w:r w:rsidR="00E6666C">
              <w:rPr>
                <w:rFonts w:ascii="Times New Roman" w:hAnsi="Times New Roman" w:cs="Times New Roman"/>
                <w:color w:val="000000"/>
                <w:sz w:val="19"/>
                <w:szCs w:val="19"/>
              </w:rPr>
              <w:t>,</w:t>
            </w:r>
            <w:r w:rsidRPr="005205EA">
              <w:rPr>
                <w:rFonts w:ascii="Times New Roman" w:hAnsi="Times New Roman" w:cs="Times New Roman"/>
                <w:color w:val="000000"/>
                <w:sz w:val="19"/>
                <w:szCs w:val="19"/>
              </w:rPr>
              <w:t>46</w:t>
            </w:r>
          </w:p>
        </w:tc>
        <w:tc>
          <w:tcPr>
            <w:tcW w:w="0" w:type="auto"/>
            <w:shd w:val="clear" w:color="000000" w:fill="FFFFFF"/>
            <w:noWrap/>
            <w:vAlign w:val="bottom"/>
          </w:tcPr>
          <w:p w:rsidR="00950BDF" w:rsidRPr="005205EA" w:rsidRDefault="00950BDF" w:rsidP="00E44C19">
            <w:pPr>
              <w:spacing w:after="0" w:line="240" w:lineRule="auto"/>
              <w:jc w:val="right"/>
              <w:rPr>
                <w:rFonts w:ascii="Times New Roman" w:eastAsia="Times New Roman" w:hAnsi="Times New Roman" w:cs="Times New Roman"/>
                <w:color w:val="000000"/>
                <w:sz w:val="19"/>
                <w:szCs w:val="19"/>
              </w:rPr>
            </w:pPr>
            <w:r w:rsidRPr="005205EA">
              <w:rPr>
                <w:rFonts w:ascii="Times New Roman" w:hAnsi="Times New Roman" w:cs="Times New Roman"/>
                <w:color w:val="000000"/>
                <w:sz w:val="19"/>
                <w:szCs w:val="19"/>
              </w:rPr>
              <w:t>76</w:t>
            </w:r>
            <w:r w:rsidR="00E6666C">
              <w:rPr>
                <w:rFonts w:ascii="Times New Roman" w:hAnsi="Times New Roman" w:cs="Times New Roman"/>
                <w:color w:val="000000"/>
                <w:sz w:val="19"/>
                <w:szCs w:val="19"/>
              </w:rPr>
              <w:t>,</w:t>
            </w:r>
            <w:r w:rsidRPr="005205EA">
              <w:rPr>
                <w:rFonts w:ascii="Times New Roman" w:hAnsi="Times New Roman" w:cs="Times New Roman"/>
                <w:color w:val="000000"/>
                <w:sz w:val="19"/>
                <w:szCs w:val="19"/>
              </w:rPr>
              <w:t>74</w:t>
            </w:r>
          </w:p>
        </w:tc>
        <w:tc>
          <w:tcPr>
            <w:tcW w:w="0" w:type="auto"/>
            <w:shd w:val="clear" w:color="000000" w:fill="FFFFFF"/>
            <w:noWrap/>
            <w:vAlign w:val="bottom"/>
          </w:tcPr>
          <w:p w:rsidR="00950BDF" w:rsidRPr="005205EA" w:rsidRDefault="00950BDF" w:rsidP="00E44C19">
            <w:pPr>
              <w:spacing w:after="0" w:line="240" w:lineRule="auto"/>
              <w:jc w:val="right"/>
              <w:rPr>
                <w:rFonts w:ascii="Times New Roman" w:eastAsia="Times New Roman" w:hAnsi="Times New Roman" w:cs="Times New Roman"/>
                <w:color w:val="000000"/>
                <w:sz w:val="19"/>
                <w:szCs w:val="19"/>
              </w:rPr>
            </w:pPr>
            <w:r w:rsidRPr="005205EA">
              <w:rPr>
                <w:rFonts w:ascii="Times New Roman" w:hAnsi="Times New Roman" w:cs="Times New Roman"/>
                <w:color w:val="000000"/>
                <w:sz w:val="19"/>
                <w:szCs w:val="19"/>
              </w:rPr>
              <w:t>80</w:t>
            </w:r>
            <w:r w:rsidR="00E6666C">
              <w:rPr>
                <w:rFonts w:ascii="Times New Roman" w:hAnsi="Times New Roman" w:cs="Times New Roman"/>
                <w:color w:val="000000"/>
                <w:sz w:val="19"/>
                <w:szCs w:val="19"/>
              </w:rPr>
              <w:t>,</w:t>
            </w:r>
            <w:r w:rsidRPr="005205EA">
              <w:rPr>
                <w:rFonts w:ascii="Times New Roman" w:hAnsi="Times New Roman" w:cs="Times New Roman"/>
                <w:color w:val="000000"/>
                <w:sz w:val="19"/>
                <w:szCs w:val="19"/>
              </w:rPr>
              <w:t>77</w:t>
            </w:r>
          </w:p>
        </w:tc>
      </w:tr>
    </w:tbl>
    <w:p w:rsidR="00950BDF" w:rsidRPr="005205EA" w:rsidRDefault="00950BDF" w:rsidP="005205EA">
      <w:pPr>
        <w:spacing w:after="0" w:line="240" w:lineRule="auto"/>
        <w:jc w:val="both"/>
        <w:rPr>
          <w:rFonts w:ascii="Times New Roman" w:hAnsi="Times New Roman" w:cs="Times New Roman"/>
          <w:sz w:val="18"/>
          <w:szCs w:val="24"/>
        </w:rPr>
      </w:pPr>
      <w:r w:rsidRPr="005205EA">
        <w:rPr>
          <w:rFonts w:ascii="Times New Roman" w:hAnsi="Times New Roman" w:cs="Times New Roman"/>
          <w:sz w:val="18"/>
          <w:szCs w:val="24"/>
        </w:rPr>
        <w:t xml:space="preserve">Забележка: В Дейност </w:t>
      </w:r>
      <w:r w:rsidRPr="005205EA">
        <w:rPr>
          <w:rFonts w:ascii="Times New Roman" w:hAnsi="Times New Roman" w:cs="Times New Roman"/>
          <w:sz w:val="18"/>
          <w:szCs w:val="24"/>
          <w:lang w:val="en-US"/>
        </w:rPr>
        <w:t xml:space="preserve">III </w:t>
      </w:r>
      <w:r w:rsidRPr="005205EA">
        <w:rPr>
          <w:rFonts w:ascii="Times New Roman" w:hAnsi="Times New Roman" w:cs="Times New Roman"/>
          <w:sz w:val="18"/>
          <w:szCs w:val="24"/>
        </w:rPr>
        <w:t>на проекта са изготвени прогнози за максимален и минимален сценарий, а средният сценарий е получен като средна аритметична стойност на двата сценария.</w:t>
      </w:r>
    </w:p>
    <w:p w:rsidR="00950BDF" w:rsidRPr="005205EA" w:rsidRDefault="00950BDF" w:rsidP="005205EA">
      <w:pPr>
        <w:spacing w:after="0" w:line="240" w:lineRule="auto"/>
        <w:jc w:val="both"/>
        <w:rPr>
          <w:rFonts w:ascii="Times New Roman" w:hAnsi="Times New Roman" w:cs="Times New Roman"/>
          <w:sz w:val="18"/>
          <w:szCs w:val="24"/>
          <w:lang w:val="en-US"/>
        </w:rPr>
      </w:pPr>
      <w:r w:rsidRPr="005205EA">
        <w:rPr>
          <w:rFonts w:ascii="Times New Roman" w:hAnsi="Times New Roman" w:cs="Times New Roman"/>
          <w:sz w:val="18"/>
          <w:szCs w:val="24"/>
        </w:rPr>
        <w:t xml:space="preserve">Източник: </w:t>
      </w:r>
      <w:r w:rsidR="002C45EF">
        <w:rPr>
          <w:rFonts w:ascii="Times New Roman" w:hAnsi="Times New Roman" w:cs="Times New Roman"/>
          <w:sz w:val="18"/>
          <w:szCs w:val="24"/>
        </w:rPr>
        <w:t>Резултати</w:t>
      </w:r>
      <w:r w:rsidR="002A0227">
        <w:rPr>
          <w:rFonts w:ascii="Times New Roman" w:hAnsi="Times New Roman" w:cs="Times New Roman"/>
          <w:sz w:val="18"/>
          <w:szCs w:val="24"/>
        </w:rPr>
        <w:t xml:space="preserve"> </w:t>
      </w:r>
      <w:r w:rsidRPr="005205EA">
        <w:rPr>
          <w:rFonts w:ascii="Times New Roman" w:hAnsi="Times New Roman" w:cs="Times New Roman"/>
          <w:sz w:val="18"/>
          <w:szCs w:val="24"/>
        </w:rPr>
        <w:t xml:space="preserve">от Дейност </w:t>
      </w:r>
      <w:r w:rsidRPr="005205EA">
        <w:rPr>
          <w:rFonts w:ascii="Times New Roman" w:hAnsi="Times New Roman" w:cs="Times New Roman"/>
          <w:sz w:val="18"/>
          <w:szCs w:val="24"/>
          <w:lang w:val="en-US"/>
        </w:rPr>
        <w:t xml:space="preserve">III </w:t>
      </w:r>
      <w:r w:rsidRPr="005205EA">
        <w:rPr>
          <w:rFonts w:ascii="Times New Roman" w:hAnsi="Times New Roman" w:cs="Times New Roman"/>
          <w:sz w:val="18"/>
          <w:szCs w:val="24"/>
        </w:rPr>
        <w:t>на проекта.</w:t>
      </w:r>
    </w:p>
    <w:p w:rsidR="00233DB8" w:rsidRDefault="00233DB8" w:rsidP="00E44C19">
      <w:pPr>
        <w:spacing w:before="120" w:after="120" w:line="240" w:lineRule="auto"/>
        <w:jc w:val="both"/>
        <w:rPr>
          <w:rFonts w:ascii="Times New Roman" w:hAnsi="Times New Roman" w:cs="Times New Roman"/>
          <w:sz w:val="24"/>
          <w:szCs w:val="24"/>
        </w:rPr>
      </w:pPr>
    </w:p>
    <w:p w:rsidR="00950BDF" w:rsidRDefault="00950BDF" w:rsidP="00E44C19">
      <w:pPr>
        <w:spacing w:before="120" w:after="120" w:line="240" w:lineRule="auto"/>
        <w:jc w:val="both"/>
        <w:rPr>
          <w:rFonts w:ascii="Times New Roman" w:hAnsi="Times New Roman" w:cs="Times New Roman"/>
          <w:sz w:val="24"/>
          <w:szCs w:val="24"/>
          <w:lang w:val="en-US"/>
        </w:rPr>
      </w:pPr>
      <w:r w:rsidRPr="00950BDF">
        <w:rPr>
          <w:rFonts w:ascii="Times New Roman" w:hAnsi="Times New Roman" w:cs="Times New Roman"/>
          <w:sz w:val="24"/>
          <w:szCs w:val="24"/>
        </w:rPr>
        <w:t xml:space="preserve">Тъй като цените на вътрешния пазар са разработени с времеви хоризонт до 2030 г., а цените за регионалния пазар са разработени с времеви хоризонт до 2040 г., които чувствително предхождат времевия хоризонт на модела, който е до 2087 г., то всички цени са ескалирани с 1% на година. За цените на вътрешния пазар ескалирането е за периода 2031-2087 г., а за цените на регионалния пазар </w:t>
      </w:r>
      <w:r w:rsidR="005205EA">
        <w:rPr>
          <w:rFonts w:ascii="Times New Roman" w:hAnsi="Times New Roman" w:cs="Times New Roman"/>
          <w:sz w:val="24"/>
          <w:szCs w:val="24"/>
        </w:rPr>
        <w:t>–</w:t>
      </w:r>
      <w:r w:rsidRPr="00950BDF">
        <w:rPr>
          <w:rFonts w:ascii="Times New Roman" w:hAnsi="Times New Roman" w:cs="Times New Roman"/>
          <w:sz w:val="24"/>
          <w:szCs w:val="24"/>
        </w:rPr>
        <w:t xml:space="preserve"> за периода 2041-2087 г.</w:t>
      </w:r>
    </w:p>
    <w:p w:rsidR="009E067D" w:rsidRPr="009E067D" w:rsidRDefault="009E067D" w:rsidP="00E44C19">
      <w:pPr>
        <w:spacing w:before="120" w:after="120" w:line="240" w:lineRule="auto"/>
        <w:jc w:val="both"/>
        <w:rPr>
          <w:rFonts w:ascii="Times New Roman" w:hAnsi="Times New Roman" w:cs="Times New Roman"/>
          <w:sz w:val="24"/>
          <w:szCs w:val="24"/>
          <w:lang w:val="en-US"/>
        </w:rPr>
      </w:pPr>
    </w:p>
    <w:p w:rsidR="00950BDF" w:rsidRPr="009E067D" w:rsidRDefault="00950BDF" w:rsidP="00E44C19">
      <w:pPr>
        <w:pStyle w:val="Heading4"/>
        <w:spacing w:before="120" w:after="120" w:line="240" w:lineRule="auto"/>
        <w:jc w:val="both"/>
        <w:rPr>
          <w:rFonts w:ascii="Times New Roman" w:hAnsi="Times New Roman" w:cs="Times New Roman"/>
          <w:color w:val="auto"/>
          <w:sz w:val="24"/>
          <w:szCs w:val="24"/>
        </w:rPr>
      </w:pPr>
      <w:r w:rsidRPr="009E067D">
        <w:rPr>
          <w:rFonts w:ascii="Times New Roman" w:hAnsi="Times New Roman" w:cs="Times New Roman"/>
          <w:color w:val="auto"/>
          <w:sz w:val="24"/>
          <w:szCs w:val="24"/>
        </w:rPr>
        <w:t>Основни допускания за нетния оборотен капитал</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 xml:space="preserve">Нетният оборотен капитал е изчислен като салдо между прогнозните краткосрочни вземания и прогнозните краткосрочни задължения. Краткосрочните вземания се прогнозират като произведение на средния брой на дните за реализация на вземанията (30 дни) и прогнозните продажби, а краткосрочните задължения се прогнозират като произведение на средния брой на дните за плащане на задълженията (30 дни) и прогнозните оперативни разходи. В модела се включва изменението на нетния оборотен капитал между отделните години. </w:t>
      </w:r>
    </w:p>
    <w:p w:rsidR="00950BDF" w:rsidRPr="00950BDF" w:rsidRDefault="00950BDF" w:rsidP="00E44C19">
      <w:pPr>
        <w:spacing w:before="120" w:after="120" w:line="240" w:lineRule="auto"/>
        <w:jc w:val="both"/>
        <w:rPr>
          <w:rFonts w:ascii="Times New Roman" w:hAnsi="Times New Roman" w:cs="Times New Roman"/>
          <w:i/>
          <w:sz w:val="24"/>
          <w:szCs w:val="24"/>
        </w:rPr>
      </w:pPr>
    </w:p>
    <w:p w:rsidR="00950BDF" w:rsidRPr="009E067D" w:rsidRDefault="00950BDF" w:rsidP="00E44C19">
      <w:pPr>
        <w:pStyle w:val="Heading4"/>
        <w:spacing w:before="120" w:after="120" w:line="240" w:lineRule="auto"/>
        <w:jc w:val="both"/>
        <w:rPr>
          <w:rFonts w:ascii="Times New Roman" w:hAnsi="Times New Roman" w:cs="Times New Roman"/>
          <w:color w:val="auto"/>
          <w:sz w:val="24"/>
          <w:szCs w:val="24"/>
        </w:rPr>
      </w:pPr>
      <w:r w:rsidRPr="009E067D">
        <w:rPr>
          <w:rFonts w:ascii="Times New Roman" w:hAnsi="Times New Roman" w:cs="Times New Roman"/>
          <w:color w:val="auto"/>
          <w:sz w:val="24"/>
          <w:szCs w:val="24"/>
        </w:rPr>
        <w:t>Допускания по основните параметри на кредита</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Основните параметри на кредита са изчислени въз основа на проучване на информация за финансиране на подобни проекти и са следните:</w:t>
      </w:r>
    </w:p>
    <w:p w:rsidR="00950BDF" w:rsidRPr="00950BDF" w:rsidRDefault="00C8711D" w:rsidP="002A32DA">
      <w:pPr>
        <w:pStyle w:val="ListParagraph"/>
        <w:numPr>
          <w:ilvl w:val="0"/>
          <w:numId w:val="11"/>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първоначални такси –</w:t>
      </w:r>
      <w:r w:rsidR="00950BDF" w:rsidRPr="00950BDF">
        <w:rPr>
          <w:rFonts w:ascii="Times New Roman" w:hAnsi="Times New Roman" w:cs="Times New Roman"/>
          <w:sz w:val="24"/>
          <w:szCs w:val="24"/>
        </w:rPr>
        <w:t xml:space="preserve"> 2</w:t>
      </w:r>
      <w:r w:rsidR="002A0227">
        <w:rPr>
          <w:rFonts w:ascii="Times New Roman" w:hAnsi="Times New Roman" w:cs="Times New Roman"/>
          <w:sz w:val="24"/>
          <w:szCs w:val="24"/>
        </w:rPr>
        <w:t>.</w:t>
      </w:r>
      <w:r w:rsidR="00950BDF" w:rsidRPr="00950BDF">
        <w:rPr>
          <w:rFonts w:ascii="Times New Roman" w:hAnsi="Times New Roman" w:cs="Times New Roman"/>
          <w:sz w:val="24"/>
          <w:szCs w:val="24"/>
        </w:rPr>
        <w:t>5%</w:t>
      </w:r>
      <w:r>
        <w:rPr>
          <w:rFonts w:ascii="Times New Roman" w:hAnsi="Times New Roman" w:cs="Times New Roman"/>
          <w:sz w:val="24"/>
          <w:szCs w:val="24"/>
        </w:rPr>
        <w:t>;</w:t>
      </w:r>
    </w:p>
    <w:p w:rsidR="00950BDF" w:rsidRPr="00950BDF" w:rsidRDefault="00950BDF" w:rsidP="002A32DA">
      <w:pPr>
        <w:pStyle w:val="ListParagraph"/>
        <w:numPr>
          <w:ilvl w:val="0"/>
          <w:numId w:val="11"/>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lastRenderedPageBreak/>
        <w:t>SWAPrate 1</w:t>
      </w:r>
      <w:r w:rsidR="002A0227">
        <w:rPr>
          <w:rFonts w:ascii="Times New Roman" w:hAnsi="Times New Roman" w:cs="Times New Roman"/>
          <w:sz w:val="24"/>
          <w:szCs w:val="24"/>
        </w:rPr>
        <w:t>.</w:t>
      </w:r>
      <w:r w:rsidRPr="00950BDF">
        <w:rPr>
          <w:rFonts w:ascii="Times New Roman" w:hAnsi="Times New Roman" w:cs="Times New Roman"/>
          <w:sz w:val="24"/>
          <w:szCs w:val="24"/>
        </w:rPr>
        <w:t>01%</w:t>
      </w:r>
      <w:r w:rsidR="00D56252">
        <w:rPr>
          <w:rStyle w:val="FootnoteReference"/>
          <w:rFonts w:ascii="Times New Roman" w:hAnsi="Times New Roman" w:cs="Times New Roman"/>
          <w:sz w:val="24"/>
          <w:szCs w:val="24"/>
        </w:rPr>
        <w:footnoteReference w:id="4"/>
      </w:r>
      <w:r w:rsidR="002A0227">
        <w:rPr>
          <w:rFonts w:ascii="Times New Roman" w:hAnsi="Times New Roman" w:cs="Times New Roman"/>
          <w:sz w:val="24"/>
          <w:szCs w:val="24"/>
        </w:rPr>
        <w:t xml:space="preserve"> </w:t>
      </w:r>
      <w:r w:rsidRPr="00950BDF">
        <w:rPr>
          <w:rFonts w:ascii="Times New Roman" w:hAnsi="Times New Roman" w:cs="Times New Roman"/>
          <w:sz w:val="24"/>
          <w:szCs w:val="24"/>
        </w:rPr>
        <w:t>+ надбавка за структуриране 0</w:t>
      </w:r>
      <w:r w:rsidR="002A0227">
        <w:rPr>
          <w:rFonts w:ascii="Times New Roman" w:hAnsi="Times New Roman" w:cs="Times New Roman"/>
          <w:sz w:val="24"/>
          <w:szCs w:val="24"/>
        </w:rPr>
        <w:t>.</w:t>
      </w:r>
      <w:r w:rsidRPr="00950BDF">
        <w:rPr>
          <w:rFonts w:ascii="Times New Roman" w:hAnsi="Times New Roman" w:cs="Times New Roman"/>
          <w:sz w:val="24"/>
          <w:szCs w:val="24"/>
        </w:rPr>
        <w:t>2% = 1</w:t>
      </w:r>
      <w:r w:rsidR="002A0227">
        <w:rPr>
          <w:rFonts w:ascii="Times New Roman" w:hAnsi="Times New Roman" w:cs="Times New Roman"/>
          <w:sz w:val="24"/>
          <w:szCs w:val="24"/>
        </w:rPr>
        <w:t>.</w:t>
      </w:r>
      <w:r w:rsidRPr="00950BDF">
        <w:rPr>
          <w:rFonts w:ascii="Times New Roman" w:hAnsi="Times New Roman" w:cs="Times New Roman"/>
          <w:sz w:val="24"/>
          <w:szCs w:val="24"/>
        </w:rPr>
        <w:t>21% фиксирана лихва</w:t>
      </w:r>
      <w:r w:rsidR="00F32BC7">
        <w:rPr>
          <w:rFonts w:ascii="Times New Roman" w:hAnsi="Times New Roman" w:cs="Times New Roman"/>
          <w:sz w:val="24"/>
          <w:szCs w:val="24"/>
        </w:rPr>
        <w:t>;</w:t>
      </w:r>
    </w:p>
    <w:p w:rsidR="00950BDF" w:rsidRPr="00950BDF" w:rsidRDefault="00F32BC7" w:rsidP="002A32DA">
      <w:pPr>
        <w:pStyle w:val="ListParagraph"/>
        <w:numPr>
          <w:ilvl w:val="0"/>
          <w:numId w:val="11"/>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р</w:t>
      </w:r>
      <w:r w:rsidR="00950BDF" w:rsidRPr="00950BDF">
        <w:rPr>
          <w:rFonts w:ascii="Times New Roman" w:hAnsi="Times New Roman" w:cs="Times New Roman"/>
          <w:sz w:val="24"/>
          <w:szCs w:val="24"/>
        </w:rPr>
        <w:t xml:space="preserve">искова </w:t>
      </w:r>
      <w:r>
        <w:rPr>
          <w:rFonts w:ascii="Times New Roman" w:hAnsi="Times New Roman" w:cs="Times New Roman"/>
          <w:sz w:val="24"/>
          <w:szCs w:val="24"/>
        </w:rPr>
        <w:t>надбавка на лихвата –</w:t>
      </w:r>
      <w:r w:rsidR="00950BDF" w:rsidRPr="00950BDF">
        <w:rPr>
          <w:rFonts w:ascii="Times New Roman" w:hAnsi="Times New Roman" w:cs="Times New Roman"/>
          <w:sz w:val="24"/>
          <w:szCs w:val="24"/>
        </w:rPr>
        <w:t xml:space="preserve"> 3</w:t>
      </w:r>
      <w:r w:rsidR="002A0227">
        <w:rPr>
          <w:rFonts w:ascii="Times New Roman" w:hAnsi="Times New Roman" w:cs="Times New Roman"/>
          <w:sz w:val="24"/>
          <w:szCs w:val="24"/>
        </w:rPr>
        <w:t>.</w:t>
      </w:r>
      <w:r w:rsidR="00950BDF" w:rsidRPr="00950BDF">
        <w:rPr>
          <w:rFonts w:ascii="Times New Roman" w:hAnsi="Times New Roman" w:cs="Times New Roman"/>
          <w:sz w:val="24"/>
          <w:szCs w:val="24"/>
        </w:rPr>
        <w:t>75%</w:t>
      </w:r>
      <w:r>
        <w:rPr>
          <w:rFonts w:ascii="Times New Roman" w:hAnsi="Times New Roman" w:cs="Times New Roman"/>
          <w:sz w:val="24"/>
          <w:szCs w:val="24"/>
        </w:rPr>
        <w:t>;</w:t>
      </w:r>
    </w:p>
    <w:p w:rsidR="00950BDF" w:rsidRPr="00950BDF" w:rsidRDefault="00F32BC7" w:rsidP="002A32DA">
      <w:pPr>
        <w:pStyle w:val="ListParagraph"/>
        <w:numPr>
          <w:ilvl w:val="0"/>
          <w:numId w:val="11"/>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т</w:t>
      </w:r>
      <w:r w:rsidR="00950BDF" w:rsidRPr="00950BDF">
        <w:rPr>
          <w:rFonts w:ascii="Times New Roman" w:hAnsi="Times New Roman" w:cs="Times New Roman"/>
          <w:sz w:val="24"/>
          <w:szCs w:val="24"/>
        </w:rPr>
        <w:t>акса анга</w:t>
      </w:r>
      <w:r>
        <w:rPr>
          <w:rFonts w:ascii="Times New Roman" w:hAnsi="Times New Roman" w:cs="Times New Roman"/>
          <w:sz w:val="24"/>
          <w:szCs w:val="24"/>
        </w:rPr>
        <w:t>жимент (върху неусвоената сума) –</w:t>
      </w:r>
      <w:r w:rsidR="00950BDF" w:rsidRPr="00950BDF">
        <w:rPr>
          <w:rFonts w:ascii="Times New Roman" w:hAnsi="Times New Roman" w:cs="Times New Roman"/>
          <w:sz w:val="24"/>
          <w:szCs w:val="24"/>
        </w:rPr>
        <w:t xml:space="preserve"> 1</w:t>
      </w:r>
      <w:r w:rsidR="002A0227">
        <w:rPr>
          <w:rFonts w:ascii="Times New Roman" w:hAnsi="Times New Roman" w:cs="Times New Roman"/>
          <w:sz w:val="24"/>
          <w:szCs w:val="24"/>
        </w:rPr>
        <w:t>.</w:t>
      </w:r>
      <w:r w:rsidR="00950BDF" w:rsidRPr="00950BDF">
        <w:rPr>
          <w:rFonts w:ascii="Times New Roman" w:hAnsi="Times New Roman" w:cs="Times New Roman"/>
          <w:sz w:val="24"/>
          <w:szCs w:val="24"/>
        </w:rPr>
        <w:t>31%</w:t>
      </w:r>
      <w:r>
        <w:rPr>
          <w:rFonts w:ascii="Times New Roman" w:hAnsi="Times New Roman" w:cs="Times New Roman"/>
          <w:sz w:val="24"/>
          <w:szCs w:val="24"/>
        </w:rPr>
        <w:t>;</w:t>
      </w:r>
    </w:p>
    <w:p w:rsidR="00950BDF" w:rsidRPr="00950BDF" w:rsidRDefault="00F32BC7" w:rsidP="002A32DA">
      <w:pPr>
        <w:pStyle w:val="ListParagraph"/>
        <w:numPr>
          <w:ilvl w:val="0"/>
          <w:numId w:val="11"/>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г</w:t>
      </w:r>
      <w:r w:rsidR="00950BDF" w:rsidRPr="00950BDF">
        <w:rPr>
          <w:rFonts w:ascii="Times New Roman" w:hAnsi="Times New Roman" w:cs="Times New Roman"/>
          <w:sz w:val="24"/>
          <w:szCs w:val="24"/>
        </w:rPr>
        <w:t>ратисен период</w:t>
      </w:r>
      <w:r>
        <w:rPr>
          <w:rFonts w:ascii="Times New Roman" w:hAnsi="Times New Roman" w:cs="Times New Roman"/>
          <w:sz w:val="24"/>
          <w:szCs w:val="24"/>
        </w:rPr>
        <w:t xml:space="preserve"> – </w:t>
      </w:r>
      <w:r w:rsidR="00950BDF" w:rsidRPr="00950BDF">
        <w:rPr>
          <w:rFonts w:ascii="Times New Roman" w:hAnsi="Times New Roman" w:cs="Times New Roman"/>
          <w:sz w:val="24"/>
          <w:szCs w:val="24"/>
        </w:rPr>
        <w:t>срок на строителство + 6 месеца</w:t>
      </w:r>
      <w:r>
        <w:rPr>
          <w:rFonts w:ascii="Times New Roman" w:hAnsi="Times New Roman" w:cs="Times New Roman"/>
          <w:sz w:val="24"/>
          <w:szCs w:val="24"/>
        </w:rPr>
        <w:t>;</w:t>
      </w:r>
    </w:p>
    <w:p w:rsidR="00950BDF" w:rsidRPr="00950BDF" w:rsidRDefault="00F32BC7" w:rsidP="002A32DA">
      <w:pPr>
        <w:pStyle w:val="ListParagraph"/>
        <w:numPr>
          <w:ilvl w:val="0"/>
          <w:numId w:val="11"/>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с</w:t>
      </w:r>
      <w:r w:rsidR="00950BDF" w:rsidRPr="00950BDF">
        <w:rPr>
          <w:rFonts w:ascii="Times New Roman" w:hAnsi="Times New Roman" w:cs="Times New Roman"/>
          <w:sz w:val="24"/>
          <w:szCs w:val="24"/>
        </w:rPr>
        <w:t>рок на погасяване</w:t>
      </w:r>
      <w:r>
        <w:rPr>
          <w:rFonts w:ascii="Times New Roman" w:hAnsi="Times New Roman" w:cs="Times New Roman"/>
          <w:sz w:val="24"/>
          <w:szCs w:val="24"/>
        </w:rPr>
        <w:t xml:space="preserve"> –</w:t>
      </w:r>
      <w:r w:rsidR="00950BDF" w:rsidRPr="00950BDF">
        <w:rPr>
          <w:rFonts w:ascii="Times New Roman" w:hAnsi="Times New Roman" w:cs="Times New Roman"/>
          <w:sz w:val="24"/>
          <w:szCs w:val="24"/>
        </w:rPr>
        <w:t xml:space="preserve"> 2</w:t>
      </w:r>
      <w:r>
        <w:rPr>
          <w:rFonts w:ascii="Times New Roman" w:hAnsi="Times New Roman" w:cs="Times New Roman"/>
          <w:sz w:val="24"/>
          <w:szCs w:val="24"/>
        </w:rPr>
        <w:t>0 години = 240 месеца.</w:t>
      </w:r>
    </w:p>
    <w:p w:rsidR="00950BDF" w:rsidRDefault="00950BDF" w:rsidP="00E44C19">
      <w:pPr>
        <w:spacing w:before="120" w:after="120" w:line="240" w:lineRule="auto"/>
        <w:jc w:val="both"/>
        <w:rPr>
          <w:rFonts w:ascii="Times New Roman" w:hAnsi="Times New Roman" w:cs="Times New Roman"/>
          <w:sz w:val="24"/>
          <w:szCs w:val="24"/>
          <w:lang w:val="en-US"/>
        </w:rPr>
      </w:pPr>
      <w:r w:rsidRPr="00950BDF">
        <w:rPr>
          <w:rFonts w:ascii="Times New Roman" w:hAnsi="Times New Roman" w:cs="Times New Roman"/>
          <w:sz w:val="24"/>
          <w:szCs w:val="24"/>
        </w:rPr>
        <w:t>При тези параметри размерът на лихвения процент на необходимия кредитен ресурс за реализиране на проекта е в рамките на 4</w:t>
      </w:r>
      <w:r w:rsidR="002A0227">
        <w:rPr>
          <w:rFonts w:ascii="Times New Roman" w:hAnsi="Times New Roman" w:cs="Times New Roman"/>
          <w:sz w:val="24"/>
          <w:szCs w:val="24"/>
        </w:rPr>
        <w:t>.</w:t>
      </w:r>
      <w:r w:rsidRPr="00950BDF">
        <w:rPr>
          <w:rFonts w:ascii="Times New Roman" w:hAnsi="Times New Roman" w:cs="Times New Roman"/>
          <w:sz w:val="24"/>
          <w:szCs w:val="24"/>
        </w:rPr>
        <w:t>96%.</w:t>
      </w:r>
    </w:p>
    <w:p w:rsidR="00FE603B" w:rsidRPr="00DB1A1E" w:rsidRDefault="002C45EF" w:rsidP="00E44C19">
      <w:pPr>
        <w:spacing w:before="120" w:after="120" w:line="240" w:lineRule="auto"/>
        <w:jc w:val="both"/>
        <w:rPr>
          <w:rFonts w:ascii="Times New Roman" w:hAnsi="Times New Roman" w:cs="Times New Roman"/>
          <w:sz w:val="24"/>
          <w:szCs w:val="24"/>
        </w:rPr>
      </w:pPr>
      <w:r w:rsidRPr="00DB1A1E">
        <w:rPr>
          <w:rFonts w:ascii="Times New Roman" w:hAnsi="Times New Roman" w:cs="Times New Roman"/>
          <w:sz w:val="24"/>
          <w:szCs w:val="24"/>
        </w:rPr>
        <w:t xml:space="preserve">Общата величина </w:t>
      </w:r>
      <w:r w:rsidR="00FE603B" w:rsidRPr="00DB1A1E">
        <w:rPr>
          <w:rFonts w:ascii="Times New Roman" w:hAnsi="Times New Roman" w:cs="Times New Roman"/>
          <w:sz w:val="24"/>
          <w:szCs w:val="24"/>
        </w:rPr>
        <w:t xml:space="preserve">на кредита </w:t>
      </w:r>
      <w:r w:rsidRPr="00DB1A1E">
        <w:rPr>
          <w:rFonts w:ascii="Times New Roman" w:hAnsi="Times New Roman" w:cs="Times New Roman"/>
          <w:sz w:val="24"/>
          <w:szCs w:val="24"/>
        </w:rPr>
        <w:t>с</w:t>
      </w:r>
      <w:r w:rsidR="00FE603B" w:rsidRPr="00DB1A1E">
        <w:rPr>
          <w:rFonts w:ascii="Times New Roman" w:hAnsi="Times New Roman" w:cs="Times New Roman"/>
          <w:sz w:val="24"/>
          <w:szCs w:val="24"/>
        </w:rPr>
        <w:t xml:space="preserve">е </w:t>
      </w:r>
      <w:r w:rsidRPr="00DB1A1E">
        <w:rPr>
          <w:rFonts w:ascii="Times New Roman" w:hAnsi="Times New Roman" w:cs="Times New Roman"/>
          <w:sz w:val="24"/>
          <w:szCs w:val="24"/>
        </w:rPr>
        <w:t>отличава</w:t>
      </w:r>
      <w:r w:rsidR="00FE603B" w:rsidRPr="00DB1A1E">
        <w:rPr>
          <w:rFonts w:ascii="Times New Roman" w:hAnsi="Times New Roman" w:cs="Times New Roman"/>
          <w:sz w:val="24"/>
          <w:szCs w:val="24"/>
        </w:rPr>
        <w:t xml:space="preserve"> при различните сценарии, предвид </w:t>
      </w:r>
      <w:r w:rsidRPr="00DB1A1E">
        <w:rPr>
          <w:rFonts w:ascii="Times New Roman" w:hAnsi="Times New Roman" w:cs="Times New Roman"/>
          <w:sz w:val="24"/>
          <w:szCs w:val="24"/>
        </w:rPr>
        <w:t>презюмираните</w:t>
      </w:r>
      <w:r w:rsidR="002A0227">
        <w:rPr>
          <w:rFonts w:ascii="Times New Roman" w:hAnsi="Times New Roman" w:cs="Times New Roman"/>
          <w:sz w:val="24"/>
          <w:szCs w:val="24"/>
        </w:rPr>
        <w:t xml:space="preserve"> </w:t>
      </w:r>
      <w:r w:rsidR="00FE603B" w:rsidRPr="00DB1A1E">
        <w:rPr>
          <w:rFonts w:ascii="Times New Roman" w:hAnsi="Times New Roman" w:cs="Times New Roman"/>
          <w:sz w:val="24"/>
          <w:szCs w:val="24"/>
        </w:rPr>
        <w:t xml:space="preserve">съотношения дълг/собствен капитал – съответно 50/50, 60/40 и 70/30. </w:t>
      </w:r>
      <w:r w:rsidR="003033E1" w:rsidRPr="00DB1A1E">
        <w:rPr>
          <w:rFonts w:ascii="Times New Roman" w:hAnsi="Times New Roman" w:cs="Times New Roman"/>
          <w:sz w:val="24"/>
          <w:szCs w:val="24"/>
        </w:rPr>
        <w:t>Погасителният план е еднакъв за всички варианти от гл.т. на период на погасяване и гратисен период, като стойностите на погасителните вноски и лихвените плащания варират при различните варианти поради различния размер на дълга.</w:t>
      </w:r>
    </w:p>
    <w:p w:rsidR="003033E1" w:rsidRPr="00DB1A1E" w:rsidRDefault="003033E1" w:rsidP="00E44C19">
      <w:pPr>
        <w:spacing w:before="120" w:after="120" w:line="240" w:lineRule="auto"/>
        <w:jc w:val="both"/>
        <w:rPr>
          <w:rFonts w:ascii="Times New Roman" w:hAnsi="Times New Roman" w:cs="Times New Roman"/>
          <w:sz w:val="24"/>
          <w:szCs w:val="24"/>
        </w:rPr>
      </w:pPr>
      <w:r w:rsidRPr="00DB1A1E">
        <w:rPr>
          <w:rFonts w:ascii="Times New Roman" w:hAnsi="Times New Roman" w:cs="Times New Roman"/>
          <w:sz w:val="24"/>
          <w:szCs w:val="24"/>
        </w:rPr>
        <w:t>Сумите на първоначалната такса, таксата ангажимент (върху неусв</w:t>
      </w:r>
      <w:r w:rsidR="00FC7C81">
        <w:rPr>
          <w:rFonts w:ascii="Times New Roman" w:hAnsi="Times New Roman" w:cs="Times New Roman"/>
          <w:sz w:val="24"/>
          <w:szCs w:val="24"/>
        </w:rPr>
        <w:t>о</w:t>
      </w:r>
      <w:r w:rsidRPr="00DB1A1E">
        <w:rPr>
          <w:rFonts w:ascii="Times New Roman" w:hAnsi="Times New Roman" w:cs="Times New Roman"/>
          <w:sz w:val="24"/>
          <w:szCs w:val="24"/>
        </w:rPr>
        <w:t>ената сума) и лихвите по време на строителството се заплащат от инвеститора, но тъй като те са извън сумата на собствения капитал, при стартирането на погасяването на основния дълг, тез</w:t>
      </w:r>
      <w:r w:rsidR="00FC7C81">
        <w:rPr>
          <w:rFonts w:ascii="Times New Roman" w:hAnsi="Times New Roman" w:cs="Times New Roman"/>
          <w:sz w:val="24"/>
          <w:szCs w:val="24"/>
        </w:rPr>
        <w:t>и</w:t>
      </w:r>
      <w:r w:rsidRPr="00DB1A1E">
        <w:rPr>
          <w:rFonts w:ascii="Times New Roman" w:hAnsi="Times New Roman" w:cs="Times New Roman"/>
          <w:sz w:val="24"/>
          <w:szCs w:val="24"/>
        </w:rPr>
        <w:t xml:space="preserve"> суми се оформят като нов кредит, който се погасява при същите условия, както и основния кредит.</w:t>
      </w:r>
    </w:p>
    <w:p w:rsidR="008F5A76" w:rsidRPr="00872A1D" w:rsidRDefault="00D56252" w:rsidP="00D56252">
      <w:pPr>
        <w:spacing w:before="120" w:after="120" w:line="240" w:lineRule="auto"/>
        <w:jc w:val="both"/>
        <w:rPr>
          <w:rFonts w:ascii="Times New Roman" w:hAnsi="Times New Roman" w:cs="Times New Roman"/>
          <w:sz w:val="24"/>
          <w:szCs w:val="24"/>
        </w:rPr>
      </w:pPr>
      <w:r w:rsidRPr="00DB1A1E">
        <w:rPr>
          <w:rFonts w:ascii="Times New Roman" w:hAnsi="Times New Roman" w:cs="Times New Roman"/>
          <w:sz w:val="24"/>
          <w:szCs w:val="24"/>
        </w:rPr>
        <w:t xml:space="preserve">Параметрите на кредита са определени на база международната практика при финансиране на подобни проекти.Практиката на </w:t>
      </w:r>
      <w:r w:rsidRPr="00DB1A1E">
        <w:rPr>
          <w:rFonts w:ascii="Times New Roman" w:hAnsi="Times New Roman" w:cs="Times New Roman"/>
          <w:sz w:val="24"/>
          <w:szCs w:val="24"/>
          <w:lang w:val="en-US"/>
        </w:rPr>
        <w:t xml:space="preserve">OECD </w:t>
      </w:r>
      <w:r w:rsidRPr="00DB1A1E">
        <w:rPr>
          <w:rFonts w:ascii="Times New Roman" w:hAnsi="Times New Roman" w:cs="Times New Roman"/>
          <w:sz w:val="24"/>
          <w:szCs w:val="24"/>
        </w:rPr>
        <w:t>показва, че обичайно срокът за изграждане</w:t>
      </w:r>
      <w:r w:rsidR="00952DB2" w:rsidRPr="00DB1A1E">
        <w:rPr>
          <w:rFonts w:ascii="Times New Roman" w:hAnsi="Times New Roman" w:cs="Times New Roman"/>
          <w:sz w:val="24"/>
          <w:szCs w:val="24"/>
        </w:rPr>
        <w:t>, съответно срок</w:t>
      </w:r>
      <w:r w:rsidR="00FC7C81">
        <w:rPr>
          <w:rFonts w:ascii="Times New Roman" w:hAnsi="Times New Roman" w:cs="Times New Roman"/>
          <w:sz w:val="24"/>
          <w:szCs w:val="24"/>
        </w:rPr>
        <w:t>ът</w:t>
      </w:r>
      <w:r w:rsidR="00952DB2" w:rsidRPr="00DB1A1E">
        <w:rPr>
          <w:rFonts w:ascii="Times New Roman" w:hAnsi="Times New Roman" w:cs="Times New Roman"/>
          <w:sz w:val="24"/>
          <w:szCs w:val="24"/>
        </w:rPr>
        <w:t xml:space="preserve"> на теглене на кредита</w:t>
      </w:r>
      <w:r w:rsidR="002A0227">
        <w:rPr>
          <w:rFonts w:ascii="Times New Roman" w:hAnsi="Times New Roman" w:cs="Times New Roman"/>
          <w:sz w:val="24"/>
          <w:szCs w:val="24"/>
        </w:rPr>
        <w:t xml:space="preserve"> </w:t>
      </w:r>
      <w:r w:rsidR="00952DB2" w:rsidRPr="00DB1A1E">
        <w:rPr>
          <w:rFonts w:ascii="Times New Roman" w:hAnsi="Times New Roman" w:cs="Times New Roman"/>
          <w:sz w:val="24"/>
          <w:szCs w:val="24"/>
        </w:rPr>
        <w:t>за</w:t>
      </w:r>
      <w:r w:rsidRPr="00DB1A1E">
        <w:rPr>
          <w:rFonts w:ascii="Times New Roman" w:hAnsi="Times New Roman" w:cs="Times New Roman"/>
          <w:sz w:val="24"/>
          <w:szCs w:val="24"/>
        </w:rPr>
        <w:t xml:space="preserve"> ядрени проекти е около 6-7 години. За настоящия проект е приет срок от 8 години предвид техническите особености</w:t>
      </w:r>
      <w:r w:rsidR="002A0227">
        <w:rPr>
          <w:rFonts w:ascii="Times New Roman" w:hAnsi="Times New Roman" w:cs="Times New Roman"/>
          <w:sz w:val="24"/>
          <w:szCs w:val="24"/>
        </w:rPr>
        <w:t xml:space="preserve"> </w:t>
      </w:r>
      <w:r w:rsidR="00FC7C81">
        <w:rPr>
          <w:rFonts w:ascii="Times New Roman" w:hAnsi="Times New Roman" w:cs="Times New Roman"/>
          <w:sz w:val="24"/>
          <w:szCs w:val="24"/>
        </w:rPr>
        <w:t>на</w:t>
      </w:r>
      <w:r w:rsidR="002A0227">
        <w:rPr>
          <w:rFonts w:ascii="Times New Roman" w:hAnsi="Times New Roman" w:cs="Times New Roman"/>
          <w:sz w:val="24"/>
          <w:szCs w:val="24"/>
        </w:rPr>
        <w:t xml:space="preserve"> </w:t>
      </w:r>
      <w:r w:rsidR="00952DB2" w:rsidRPr="00DB1A1E">
        <w:rPr>
          <w:rFonts w:ascii="Times New Roman" w:hAnsi="Times New Roman" w:cs="Times New Roman"/>
          <w:sz w:val="24"/>
          <w:szCs w:val="24"/>
        </w:rPr>
        <w:t>проекта. Срокът за погасяване обичайно е 18 години, което е близко до възприетия за настоящия проект срок от 20 години</w:t>
      </w:r>
      <w:r w:rsidR="002A0227">
        <w:rPr>
          <w:rFonts w:ascii="Times New Roman" w:hAnsi="Times New Roman" w:cs="Times New Roman"/>
          <w:sz w:val="24"/>
          <w:szCs w:val="24"/>
        </w:rPr>
        <w:t>.</w:t>
      </w:r>
      <w:r w:rsidR="00952DB2" w:rsidRPr="00DB1A1E">
        <w:rPr>
          <w:rStyle w:val="FootnoteReference"/>
          <w:rFonts w:ascii="Times New Roman" w:hAnsi="Times New Roman" w:cs="Times New Roman"/>
          <w:sz w:val="24"/>
          <w:szCs w:val="24"/>
        </w:rPr>
        <w:footnoteReference w:id="5"/>
      </w:r>
      <w:r w:rsidR="00952DB2" w:rsidRPr="00DB1A1E">
        <w:rPr>
          <w:rFonts w:ascii="Times New Roman" w:hAnsi="Times New Roman" w:cs="Times New Roman"/>
          <w:sz w:val="24"/>
          <w:szCs w:val="24"/>
        </w:rPr>
        <w:t xml:space="preserve"> </w:t>
      </w:r>
      <w:r w:rsidR="00872A1D" w:rsidRPr="00DB1A1E">
        <w:rPr>
          <w:rFonts w:ascii="Times New Roman" w:hAnsi="Times New Roman" w:cs="Times New Roman"/>
          <w:sz w:val="24"/>
          <w:szCs w:val="24"/>
        </w:rPr>
        <w:t>Размерът на фиксираната лихва за настоящия кредит – 1</w:t>
      </w:r>
      <w:r w:rsidR="002A0227">
        <w:rPr>
          <w:rFonts w:ascii="Times New Roman" w:hAnsi="Times New Roman" w:cs="Times New Roman"/>
          <w:sz w:val="24"/>
          <w:szCs w:val="24"/>
        </w:rPr>
        <w:t>.</w:t>
      </w:r>
      <w:r w:rsidR="00872A1D" w:rsidRPr="00DB1A1E">
        <w:rPr>
          <w:rFonts w:ascii="Times New Roman" w:hAnsi="Times New Roman" w:cs="Times New Roman"/>
          <w:sz w:val="24"/>
          <w:szCs w:val="24"/>
        </w:rPr>
        <w:t xml:space="preserve">21% е близък до препоръчителния от </w:t>
      </w:r>
      <w:r w:rsidR="00872A1D" w:rsidRPr="00DB1A1E">
        <w:rPr>
          <w:rFonts w:ascii="Times New Roman" w:hAnsi="Times New Roman" w:cs="Times New Roman"/>
          <w:sz w:val="24"/>
          <w:szCs w:val="24"/>
          <w:lang w:val="en-US"/>
        </w:rPr>
        <w:t xml:space="preserve">OECD </w:t>
      </w:r>
      <w:r w:rsidR="00872A1D" w:rsidRPr="00DB1A1E">
        <w:rPr>
          <w:rFonts w:ascii="Times New Roman" w:hAnsi="Times New Roman" w:cs="Times New Roman"/>
          <w:sz w:val="24"/>
          <w:szCs w:val="24"/>
        </w:rPr>
        <w:t xml:space="preserve">размер за кредити за финансиране на ядрени проекти с 18 годишен период на погасяване </w:t>
      </w:r>
      <w:r w:rsidR="00FC7C81">
        <w:rPr>
          <w:rFonts w:ascii="Times New Roman" w:hAnsi="Times New Roman" w:cs="Times New Roman"/>
          <w:sz w:val="24"/>
          <w:szCs w:val="24"/>
        </w:rPr>
        <w:t xml:space="preserve">Тя с получава като сума от </w:t>
      </w:r>
      <w:r w:rsidR="00872A1D" w:rsidRPr="00DB1A1E">
        <w:rPr>
          <w:rFonts w:ascii="Times New Roman" w:hAnsi="Times New Roman" w:cs="Times New Roman"/>
          <w:sz w:val="24"/>
          <w:szCs w:val="24"/>
        </w:rPr>
        <w:t xml:space="preserve"> доходност</w:t>
      </w:r>
      <w:r w:rsidR="00FC7C81">
        <w:rPr>
          <w:rFonts w:ascii="Times New Roman" w:hAnsi="Times New Roman" w:cs="Times New Roman"/>
          <w:sz w:val="24"/>
          <w:szCs w:val="24"/>
        </w:rPr>
        <w:t>та</w:t>
      </w:r>
      <w:r w:rsidR="00872A1D" w:rsidRPr="00DB1A1E">
        <w:rPr>
          <w:rFonts w:ascii="Times New Roman" w:hAnsi="Times New Roman" w:cs="Times New Roman"/>
          <w:sz w:val="24"/>
          <w:szCs w:val="24"/>
        </w:rPr>
        <w:t xml:space="preserve"> на 10-годишни</w:t>
      </w:r>
      <w:r w:rsidR="00FC7C81">
        <w:rPr>
          <w:rFonts w:ascii="Times New Roman" w:hAnsi="Times New Roman" w:cs="Times New Roman"/>
          <w:sz w:val="24"/>
          <w:szCs w:val="24"/>
        </w:rPr>
        <w:t>те</w:t>
      </w:r>
      <w:r w:rsidR="00872A1D" w:rsidRPr="00DB1A1E">
        <w:rPr>
          <w:rFonts w:ascii="Times New Roman" w:hAnsi="Times New Roman" w:cs="Times New Roman"/>
          <w:sz w:val="24"/>
          <w:szCs w:val="24"/>
        </w:rPr>
        <w:t xml:space="preserve"> германски държавни ценни книжа + 120 </w:t>
      </w:r>
      <w:r w:rsidR="00872A1D" w:rsidRPr="00DB1A1E">
        <w:rPr>
          <w:rFonts w:ascii="Times New Roman" w:hAnsi="Times New Roman" w:cs="Times New Roman"/>
          <w:sz w:val="24"/>
          <w:szCs w:val="24"/>
          <w:lang w:val="en-US"/>
        </w:rPr>
        <w:t>bps</w:t>
      </w:r>
      <w:r w:rsidR="00872A1D" w:rsidRPr="00DB1A1E">
        <w:rPr>
          <w:rStyle w:val="FootnoteReference"/>
          <w:rFonts w:ascii="Times New Roman" w:hAnsi="Times New Roman" w:cs="Times New Roman"/>
          <w:sz w:val="24"/>
          <w:szCs w:val="24"/>
          <w:lang w:val="en-US"/>
        </w:rPr>
        <w:footnoteReference w:id="6"/>
      </w:r>
      <w:r w:rsidR="00872A1D" w:rsidRPr="00DB1A1E">
        <w:rPr>
          <w:rFonts w:ascii="Times New Roman" w:hAnsi="Times New Roman" w:cs="Times New Roman"/>
          <w:sz w:val="24"/>
          <w:szCs w:val="24"/>
          <w:lang w:val="en-US"/>
        </w:rPr>
        <w:t xml:space="preserve">; </w:t>
      </w:r>
      <w:r w:rsidR="00872A1D" w:rsidRPr="00DB1A1E">
        <w:rPr>
          <w:rFonts w:ascii="Times New Roman" w:hAnsi="Times New Roman" w:cs="Times New Roman"/>
          <w:sz w:val="24"/>
          <w:szCs w:val="24"/>
        </w:rPr>
        <w:t>при 0</w:t>
      </w:r>
      <w:r w:rsidR="002A0227">
        <w:rPr>
          <w:rFonts w:ascii="Times New Roman" w:hAnsi="Times New Roman" w:cs="Times New Roman"/>
          <w:sz w:val="24"/>
          <w:szCs w:val="24"/>
        </w:rPr>
        <w:t>.</w:t>
      </w:r>
      <w:r w:rsidR="00872A1D" w:rsidRPr="00DB1A1E">
        <w:rPr>
          <w:rFonts w:ascii="Times New Roman" w:hAnsi="Times New Roman" w:cs="Times New Roman"/>
          <w:sz w:val="24"/>
          <w:szCs w:val="24"/>
        </w:rPr>
        <w:t>3% доходност на 10-годишни</w:t>
      </w:r>
      <w:r w:rsidR="00FC7C81">
        <w:rPr>
          <w:rFonts w:ascii="Times New Roman" w:hAnsi="Times New Roman" w:cs="Times New Roman"/>
          <w:sz w:val="24"/>
          <w:szCs w:val="24"/>
        </w:rPr>
        <w:t>те</w:t>
      </w:r>
      <w:r w:rsidR="00872A1D" w:rsidRPr="00DB1A1E">
        <w:rPr>
          <w:rFonts w:ascii="Times New Roman" w:hAnsi="Times New Roman" w:cs="Times New Roman"/>
          <w:sz w:val="24"/>
          <w:szCs w:val="24"/>
        </w:rPr>
        <w:t xml:space="preserve"> германски държавни ценни книжа и 1</w:t>
      </w:r>
      <w:r w:rsidR="002A0227">
        <w:rPr>
          <w:rFonts w:ascii="Times New Roman" w:hAnsi="Times New Roman" w:cs="Times New Roman"/>
          <w:sz w:val="24"/>
          <w:szCs w:val="24"/>
        </w:rPr>
        <w:t>.</w:t>
      </w:r>
      <w:r w:rsidR="00872A1D" w:rsidRPr="00DB1A1E">
        <w:rPr>
          <w:rFonts w:ascii="Times New Roman" w:hAnsi="Times New Roman" w:cs="Times New Roman"/>
          <w:sz w:val="24"/>
          <w:szCs w:val="24"/>
        </w:rPr>
        <w:t xml:space="preserve">2% еквивалент на 120 </w:t>
      </w:r>
      <w:r w:rsidR="00872A1D" w:rsidRPr="00DB1A1E">
        <w:rPr>
          <w:rFonts w:ascii="Times New Roman" w:hAnsi="Times New Roman" w:cs="Times New Roman"/>
          <w:sz w:val="24"/>
          <w:szCs w:val="24"/>
          <w:lang w:val="en-US"/>
        </w:rPr>
        <w:t>bps</w:t>
      </w:r>
      <w:r w:rsidR="00FC7C81">
        <w:rPr>
          <w:rFonts w:ascii="Times New Roman" w:hAnsi="Times New Roman" w:cs="Times New Roman"/>
          <w:sz w:val="24"/>
          <w:szCs w:val="24"/>
        </w:rPr>
        <w:t>, което</w:t>
      </w:r>
      <w:r w:rsidR="00872A1D" w:rsidRPr="00DB1A1E">
        <w:rPr>
          <w:rFonts w:ascii="Times New Roman" w:hAnsi="Times New Roman" w:cs="Times New Roman"/>
          <w:sz w:val="24"/>
          <w:szCs w:val="24"/>
        </w:rPr>
        <w:t xml:space="preserve"> това прави 1</w:t>
      </w:r>
      <w:r w:rsidR="002A0227">
        <w:rPr>
          <w:rFonts w:ascii="Times New Roman" w:hAnsi="Times New Roman" w:cs="Times New Roman"/>
          <w:sz w:val="24"/>
          <w:szCs w:val="24"/>
        </w:rPr>
        <w:t>.</w:t>
      </w:r>
      <w:r w:rsidR="00872A1D" w:rsidRPr="00DB1A1E">
        <w:rPr>
          <w:rFonts w:ascii="Times New Roman" w:hAnsi="Times New Roman" w:cs="Times New Roman"/>
          <w:sz w:val="24"/>
          <w:szCs w:val="24"/>
        </w:rPr>
        <w:t>55% общ размер на лихвата).</w:t>
      </w:r>
    </w:p>
    <w:p w:rsidR="00AB0E25" w:rsidRDefault="00AB0E25" w:rsidP="00CB6CCC"/>
    <w:p w:rsidR="00950BDF" w:rsidRPr="009E067D" w:rsidRDefault="00950BDF" w:rsidP="00E44C19">
      <w:pPr>
        <w:pStyle w:val="Heading4"/>
        <w:spacing w:before="120" w:after="120" w:line="240" w:lineRule="auto"/>
        <w:jc w:val="both"/>
        <w:rPr>
          <w:rFonts w:ascii="Times New Roman" w:hAnsi="Times New Roman" w:cs="Times New Roman"/>
          <w:color w:val="auto"/>
          <w:sz w:val="24"/>
          <w:szCs w:val="24"/>
        </w:rPr>
      </w:pPr>
      <w:r w:rsidRPr="009E067D">
        <w:rPr>
          <w:rFonts w:ascii="Times New Roman" w:hAnsi="Times New Roman" w:cs="Times New Roman"/>
          <w:color w:val="auto"/>
          <w:sz w:val="24"/>
          <w:szCs w:val="24"/>
        </w:rPr>
        <w:t>Допускания по формирането на финансовите потоци на проекта</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 xml:space="preserve">За всеки от </w:t>
      </w:r>
      <w:r w:rsidR="00F32BC7">
        <w:rPr>
          <w:rFonts w:ascii="Times New Roman" w:hAnsi="Times New Roman" w:cs="Times New Roman"/>
          <w:sz w:val="24"/>
          <w:szCs w:val="24"/>
        </w:rPr>
        <w:t xml:space="preserve">посочените </w:t>
      </w:r>
      <w:r w:rsidRPr="00950BDF">
        <w:rPr>
          <w:rFonts w:ascii="Times New Roman" w:hAnsi="Times New Roman" w:cs="Times New Roman"/>
          <w:sz w:val="24"/>
          <w:szCs w:val="24"/>
        </w:rPr>
        <w:t xml:space="preserve">шест варианта, формирани в зависимост от финансирането на проекта, моделът съдържа отделен електронен лист (таблица), в който се изчисляват съответните финансови потоци. </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За всеки вариант се изчисляват отчет за приходите и разходите (в т.ч. облагаема печалба, данъци, нетна печалба за разпределение и дивидент) и отчет за паричните потоци. За Варианти 1, 2 и 3, където е налице 100% участие на частен инвеститор, прогнозният дивидент се изплаща само за него. При Варианти 4, 5, и 6, където е налице участие на държавата с апорт в размер на 1</w:t>
      </w:r>
      <w:r w:rsidR="0055690F">
        <w:rPr>
          <w:rFonts w:ascii="Times New Roman" w:hAnsi="Times New Roman" w:cs="Times New Roman"/>
          <w:sz w:val="24"/>
          <w:szCs w:val="24"/>
        </w:rPr>
        <w:t>,</w:t>
      </w:r>
      <w:r w:rsidRPr="00950BDF">
        <w:rPr>
          <w:rFonts w:ascii="Times New Roman" w:hAnsi="Times New Roman" w:cs="Times New Roman"/>
          <w:sz w:val="24"/>
          <w:szCs w:val="24"/>
        </w:rPr>
        <w:t xml:space="preserve">17 млрд. евро, дивидентът се разпределя между частния инвеститор и държавата в зависимост от съотношението на апорта на </w:t>
      </w:r>
      <w:r w:rsidRPr="00950BDF">
        <w:rPr>
          <w:rFonts w:ascii="Times New Roman" w:hAnsi="Times New Roman" w:cs="Times New Roman"/>
          <w:sz w:val="24"/>
          <w:szCs w:val="24"/>
        </w:rPr>
        <w:lastRenderedPageBreak/>
        <w:t>държавата и паричната вноска от частния инвеститор в общия размер на собствения капитал за съответния вариант. При Вариант 4 това съотношение е 77</w:t>
      </w:r>
      <w:r w:rsidR="003852F9">
        <w:rPr>
          <w:rFonts w:ascii="Times New Roman" w:hAnsi="Times New Roman" w:cs="Times New Roman"/>
          <w:sz w:val="24"/>
          <w:szCs w:val="24"/>
          <w:lang w:val="en-US"/>
        </w:rPr>
        <w:t>,</w:t>
      </w:r>
      <w:r w:rsidR="00F32BC7">
        <w:rPr>
          <w:rFonts w:ascii="Times New Roman" w:hAnsi="Times New Roman" w:cs="Times New Roman"/>
          <w:sz w:val="24"/>
          <w:szCs w:val="24"/>
        </w:rPr>
        <w:t>7</w:t>
      </w:r>
      <w:r w:rsidR="00641D24">
        <w:rPr>
          <w:rFonts w:ascii="Times New Roman" w:hAnsi="Times New Roman" w:cs="Times New Roman"/>
          <w:sz w:val="24"/>
          <w:szCs w:val="24"/>
        </w:rPr>
        <w:t>/</w:t>
      </w:r>
      <w:r w:rsidRPr="00950BDF">
        <w:rPr>
          <w:rFonts w:ascii="Times New Roman" w:hAnsi="Times New Roman" w:cs="Times New Roman"/>
          <w:sz w:val="24"/>
          <w:szCs w:val="24"/>
        </w:rPr>
        <w:t>22</w:t>
      </w:r>
      <w:r w:rsidR="003852F9">
        <w:rPr>
          <w:rFonts w:ascii="Times New Roman" w:hAnsi="Times New Roman" w:cs="Times New Roman"/>
          <w:sz w:val="24"/>
          <w:szCs w:val="24"/>
          <w:lang w:val="en-US"/>
        </w:rPr>
        <w:t>,</w:t>
      </w:r>
      <w:r w:rsidR="00F32BC7">
        <w:rPr>
          <w:rFonts w:ascii="Times New Roman" w:hAnsi="Times New Roman" w:cs="Times New Roman"/>
          <w:sz w:val="24"/>
          <w:szCs w:val="24"/>
        </w:rPr>
        <w:t>3</w:t>
      </w:r>
      <w:r w:rsidRPr="00950BDF">
        <w:rPr>
          <w:rFonts w:ascii="Times New Roman" w:hAnsi="Times New Roman" w:cs="Times New Roman"/>
          <w:sz w:val="24"/>
          <w:szCs w:val="24"/>
        </w:rPr>
        <w:t xml:space="preserve">, при Вариант 5 </w:t>
      </w:r>
      <w:r w:rsidR="00F32BC7">
        <w:rPr>
          <w:rFonts w:ascii="Times New Roman" w:hAnsi="Times New Roman" w:cs="Times New Roman"/>
          <w:sz w:val="24"/>
          <w:szCs w:val="24"/>
        </w:rPr>
        <w:t>–</w:t>
      </w:r>
      <w:r w:rsidRPr="00950BDF">
        <w:rPr>
          <w:rFonts w:ascii="Times New Roman" w:hAnsi="Times New Roman" w:cs="Times New Roman"/>
          <w:sz w:val="24"/>
          <w:szCs w:val="24"/>
        </w:rPr>
        <w:t xml:space="preserve"> 72</w:t>
      </w:r>
      <w:r w:rsidR="003852F9">
        <w:rPr>
          <w:rFonts w:ascii="Times New Roman" w:hAnsi="Times New Roman" w:cs="Times New Roman"/>
          <w:sz w:val="24"/>
          <w:szCs w:val="24"/>
          <w:lang w:val="en-US"/>
        </w:rPr>
        <w:t>,</w:t>
      </w:r>
      <w:r w:rsidR="00F32BC7">
        <w:rPr>
          <w:rFonts w:ascii="Times New Roman" w:hAnsi="Times New Roman" w:cs="Times New Roman"/>
          <w:sz w:val="24"/>
          <w:szCs w:val="24"/>
        </w:rPr>
        <w:t>1</w:t>
      </w:r>
      <w:r w:rsidR="00641D24">
        <w:rPr>
          <w:rFonts w:ascii="Times New Roman" w:hAnsi="Times New Roman" w:cs="Times New Roman"/>
          <w:sz w:val="24"/>
          <w:szCs w:val="24"/>
        </w:rPr>
        <w:t>/</w:t>
      </w:r>
      <w:r w:rsidRPr="00950BDF">
        <w:rPr>
          <w:rFonts w:ascii="Times New Roman" w:hAnsi="Times New Roman" w:cs="Times New Roman"/>
          <w:sz w:val="24"/>
          <w:szCs w:val="24"/>
        </w:rPr>
        <w:t>27</w:t>
      </w:r>
      <w:r w:rsidR="003852F9">
        <w:rPr>
          <w:rFonts w:ascii="Times New Roman" w:hAnsi="Times New Roman" w:cs="Times New Roman"/>
          <w:sz w:val="24"/>
          <w:szCs w:val="24"/>
          <w:lang w:val="en-US"/>
        </w:rPr>
        <w:t>,</w:t>
      </w:r>
      <w:r w:rsidR="00F32BC7">
        <w:rPr>
          <w:rFonts w:ascii="Times New Roman" w:hAnsi="Times New Roman" w:cs="Times New Roman"/>
          <w:sz w:val="24"/>
          <w:szCs w:val="24"/>
        </w:rPr>
        <w:t>9,</w:t>
      </w:r>
      <w:r w:rsidRPr="00950BDF">
        <w:rPr>
          <w:rFonts w:ascii="Times New Roman" w:hAnsi="Times New Roman" w:cs="Times New Roman"/>
          <w:sz w:val="24"/>
          <w:szCs w:val="24"/>
        </w:rPr>
        <w:t xml:space="preserve"> и при Вариант 6 </w:t>
      </w:r>
      <w:r w:rsidR="00F32BC7">
        <w:rPr>
          <w:rFonts w:ascii="Times New Roman" w:hAnsi="Times New Roman" w:cs="Times New Roman"/>
          <w:sz w:val="24"/>
          <w:szCs w:val="24"/>
        </w:rPr>
        <w:t>–</w:t>
      </w:r>
      <w:r w:rsidRPr="00950BDF">
        <w:rPr>
          <w:rFonts w:ascii="Times New Roman" w:hAnsi="Times New Roman" w:cs="Times New Roman"/>
          <w:sz w:val="24"/>
          <w:szCs w:val="24"/>
        </w:rPr>
        <w:t xml:space="preserve"> 62</w:t>
      </w:r>
      <w:r w:rsidR="003852F9">
        <w:rPr>
          <w:rFonts w:ascii="Times New Roman" w:hAnsi="Times New Roman" w:cs="Times New Roman"/>
          <w:sz w:val="24"/>
          <w:szCs w:val="24"/>
          <w:lang w:val="en-US"/>
        </w:rPr>
        <w:t>,</w:t>
      </w:r>
      <w:r w:rsidR="00F32BC7">
        <w:rPr>
          <w:rFonts w:ascii="Times New Roman" w:hAnsi="Times New Roman" w:cs="Times New Roman"/>
          <w:sz w:val="24"/>
          <w:szCs w:val="24"/>
        </w:rPr>
        <w:t>8</w:t>
      </w:r>
      <w:r w:rsidR="00641D24">
        <w:rPr>
          <w:rFonts w:ascii="Times New Roman" w:hAnsi="Times New Roman" w:cs="Times New Roman"/>
          <w:sz w:val="24"/>
          <w:szCs w:val="24"/>
        </w:rPr>
        <w:t>/</w:t>
      </w:r>
      <w:r w:rsidRPr="00950BDF">
        <w:rPr>
          <w:rFonts w:ascii="Times New Roman" w:hAnsi="Times New Roman" w:cs="Times New Roman"/>
          <w:sz w:val="24"/>
          <w:szCs w:val="24"/>
        </w:rPr>
        <w:t>37</w:t>
      </w:r>
      <w:r w:rsidR="003852F9">
        <w:rPr>
          <w:rFonts w:ascii="Times New Roman" w:hAnsi="Times New Roman" w:cs="Times New Roman"/>
          <w:sz w:val="24"/>
          <w:szCs w:val="24"/>
          <w:lang w:val="en-US"/>
        </w:rPr>
        <w:t>,</w:t>
      </w:r>
      <w:r w:rsidR="00F32BC7">
        <w:rPr>
          <w:rFonts w:ascii="Times New Roman" w:hAnsi="Times New Roman" w:cs="Times New Roman"/>
          <w:sz w:val="24"/>
          <w:szCs w:val="24"/>
        </w:rPr>
        <w:t>2</w:t>
      </w:r>
      <w:r w:rsidRPr="00950BDF">
        <w:rPr>
          <w:rFonts w:ascii="Times New Roman" w:hAnsi="Times New Roman" w:cs="Times New Roman"/>
          <w:sz w:val="24"/>
          <w:szCs w:val="24"/>
        </w:rPr>
        <w:t xml:space="preserve">. Делът на държавата при разпределянето на дивидента расте, тъй като размерът на апорта е постоянна величина, а в същото време делът на собствения капитал в общото финансиране на проекта намалява от 50% </w:t>
      </w:r>
      <w:r w:rsidR="00F32BC7">
        <w:rPr>
          <w:rFonts w:ascii="Times New Roman" w:hAnsi="Times New Roman" w:cs="Times New Roman"/>
          <w:sz w:val="24"/>
          <w:szCs w:val="24"/>
        </w:rPr>
        <w:t>(</w:t>
      </w:r>
      <w:r w:rsidRPr="00950BDF">
        <w:rPr>
          <w:rFonts w:ascii="Times New Roman" w:hAnsi="Times New Roman" w:cs="Times New Roman"/>
          <w:sz w:val="24"/>
          <w:szCs w:val="24"/>
        </w:rPr>
        <w:t>при Вариант 4</w:t>
      </w:r>
      <w:r w:rsidR="00F32BC7">
        <w:rPr>
          <w:rFonts w:ascii="Times New Roman" w:hAnsi="Times New Roman" w:cs="Times New Roman"/>
          <w:sz w:val="24"/>
          <w:szCs w:val="24"/>
        </w:rPr>
        <w:t>)</w:t>
      </w:r>
      <w:r w:rsidRPr="00950BDF">
        <w:rPr>
          <w:rFonts w:ascii="Times New Roman" w:hAnsi="Times New Roman" w:cs="Times New Roman"/>
          <w:sz w:val="24"/>
          <w:szCs w:val="24"/>
        </w:rPr>
        <w:t xml:space="preserve"> на 30% </w:t>
      </w:r>
      <w:r w:rsidR="00F32BC7">
        <w:rPr>
          <w:rFonts w:ascii="Times New Roman" w:hAnsi="Times New Roman" w:cs="Times New Roman"/>
          <w:sz w:val="24"/>
          <w:szCs w:val="24"/>
        </w:rPr>
        <w:t>(</w:t>
      </w:r>
      <w:r w:rsidRPr="00950BDF">
        <w:rPr>
          <w:rFonts w:ascii="Times New Roman" w:hAnsi="Times New Roman" w:cs="Times New Roman"/>
          <w:sz w:val="24"/>
          <w:szCs w:val="24"/>
        </w:rPr>
        <w:t>при Вариант 6</w:t>
      </w:r>
      <w:r w:rsidR="00F32BC7">
        <w:rPr>
          <w:rFonts w:ascii="Times New Roman" w:hAnsi="Times New Roman" w:cs="Times New Roman"/>
          <w:sz w:val="24"/>
          <w:szCs w:val="24"/>
        </w:rPr>
        <w:t>)</w:t>
      </w:r>
      <w:r w:rsidRPr="00950BDF">
        <w:rPr>
          <w:rFonts w:ascii="Times New Roman" w:hAnsi="Times New Roman" w:cs="Times New Roman"/>
          <w:sz w:val="24"/>
          <w:szCs w:val="24"/>
        </w:rPr>
        <w:t>.</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Въз основа на прогнозираните финансови потоци, за всеки вариант се изчисляват следните показатели:</w:t>
      </w:r>
    </w:p>
    <w:p w:rsidR="00950BDF" w:rsidRPr="00950BDF" w:rsidRDefault="00F32BC7" w:rsidP="002A32DA">
      <w:pPr>
        <w:pStyle w:val="ListParagraph"/>
        <w:numPr>
          <w:ilvl w:val="0"/>
          <w:numId w:val="16"/>
        </w:numPr>
        <w:spacing w:before="120" w:after="12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ф</w:t>
      </w:r>
      <w:r w:rsidR="00950BDF" w:rsidRPr="00950BDF">
        <w:rPr>
          <w:rFonts w:ascii="Times New Roman" w:hAnsi="Times New Roman" w:cs="Times New Roman"/>
          <w:sz w:val="24"/>
          <w:szCs w:val="24"/>
        </w:rPr>
        <w:t>инансови показатели</w:t>
      </w:r>
      <w:r>
        <w:rPr>
          <w:rFonts w:ascii="Times New Roman" w:hAnsi="Times New Roman" w:cs="Times New Roman"/>
          <w:sz w:val="24"/>
          <w:szCs w:val="24"/>
        </w:rPr>
        <w:t>,</w:t>
      </w:r>
      <w:r w:rsidR="00950BDF" w:rsidRPr="00950BDF">
        <w:rPr>
          <w:rFonts w:ascii="Times New Roman" w:hAnsi="Times New Roman" w:cs="Times New Roman"/>
          <w:sz w:val="24"/>
          <w:szCs w:val="24"/>
        </w:rPr>
        <w:t xml:space="preserve"> общо за проекта преди финансиране</w:t>
      </w:r>
      <w:r>
        <w:rPr>
          <w:rFonts w:ascii="Times New Roman" w:hAnsi="Times New Roman" w:cs="Times New Roman"/>
          <w:sz w:val="24"/>
          <w:szCs w:val="24"/>
        </w:rPr>
        <w:t xml:space="preserve"> –</w:t>
      </w:r>
      <w:r w:rsidR="00950BDF" w:rsidRPr="00950BDF">
        <w:rPr>
          <w:rFonts w:ascii="Times New Roman" w:hAnsi="Times New Roman" w:cs="Times New Roman"/>
          <w:sz w:val="24"/>
          <w:szCs w:val="24"/>
        </w:rPr>
        <w:t xml:space="preserve"> нетна настояща стойност (NPV) и вътреш</w:t>
      </w:r>
      <w:r>
        <w:rPr>
          <w:rFonts w:ascii="Times New Roman" w:hAnsi="Times New Roman" w:cs="Times New Roman"/>
          <w:sz w:val="24"/>
          <w:szCs w:val="24"/>
        </w:rPr>
        <w:t>на норма на възвръщаемост (IRR);</w:t>
      </w:r>
    </w:p>
    <w:p w:rsidR="00950BDF" w:rsidRPr="00950BDF" w:rsidRDefault="00F32BC7" w:rsidP="002A32DA">
      <w:pPr>
        <w:pStyle w:val="ListParagraph"/>
        <w:numPr>
          <w:ilvl w:val="0"/>
          <w:numId w:val="16"/>
        </w:numPr>
        <w:spacing w:before="120" w:after="12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ф</w:t>
      </w:r>
      <w:r w:rsidR="00950BDF" w:rsidRPr="00950BDF">
        <w:rPr>
          <w:rFonts w:ascii="Times New Roman" w:hAnsi="Times New Roman" w:cs="Times New Roman"/>
          <w:sz w:val="24"/>
          <w:szCs w:val="24"/>
        </w:rPr>
        <w:t>инансови показатели след фин</w:t>
      </w:r>
      <w:r>
        <w:rPr>
          <w:rFonts w:ascii="Times New Roman" w:hAnsi="Times New Roman" w:cs="Times New Roman"/>
          <w:sz w:val="24"/>
          <w:szCs w:val="24"/>
        </w:rPr>
        <w:t>ансиране – з</w:t>
      </w:r>
      <w:r w:rsidR="00950BDF" w:rsidRPr="00950BDF">
        <w:rPr>
          <w:rFonts w:ascii="Times New Roman" w:hAnsi="Times New Roman" w:cs="Times New Roman"/>
          <w:sz w:val="24"/>
          <w:szCs w:val="24"/>
        </w:rPr>
        <w:t xml:space="preserve">а Варианти 1, 2 и 3 е изчислена вътрешната норма на възвръщаемост на частния инвеститор (IRR), а за Варианти 4, 5 и 6 е пресметната и вътрешната норма на възвръщаемост за държавата. Начинът за изчисляване на двете групи показатели е разгледан </w:t>
      </w:r>
      <w:r w:rsidR="00950BDF" w:rsidRPr="00534E0A">
        <w:rPr>
          <w:rFonts w:ascii="Times New Roman" w:hAnsi="Times New Roman" w:cs="Times New Roman"/>
          <w:sz w:val="24"/>
          <w:szCs w:val="24"/>
        </w:rPr>
        <w:t>в следващ</w:t>
      </w:r>
      <w:r w:rsidR="00534E0A" w:rsidRPr="00534E0A">
        <w:rPr>
          <w:rFonts w:ascii="Times New Roman" w:hAnsi="Times New Roman" w:cs="Times New Roman"/>
          <w:sz w:val="24"/>
          <w:szCs w:val="24"/>
        </w:rPr>
        <w:t>ото изложение</w:t>
      </w:r>
      <w:r w:rsidR="00950BDF" w:rsidRPr="00950BDF">
        <w:rPr>
          <w:rFonts w:ascii="Times New Roman" w:hAnsi="Times New Roman" w:cs="Times New Roman"/>
          <w:sz w:val="24"/>
          <w:szCs w:val="24"/>
        </w:rPr>
        <w:t>.</w:t>
      </w:r>
    </w:p>
    <w:p w:rsidR="00950BDF" w:rsidRPr="00950BDF" w:rsidRDefault="00950BDF" w:rsidP="00E44C19">
      <w:pPr>
        <w:pStyle w:val="ListParagraph"/>
        <w:spacing w:before="120" w:after="120" w:line="240" w:lineRule="auto"/>
        <w:contextualSpacing w:val="0"/>
        <w:jc w:val="both"/>
        <w:rPr>
          <w:rFonts w:ascii="Times New Roman" w:hAnsi="Times New Roman" w:cs="Times New Roman"/>
          <w:sz w:val="24"/>
          <w:szCs w:val="24"/>
        </w:rPr>
      </w:pPr>
    </w:p>
    <w:p w:rsidR="00950BDF" w:rsidRPr="009E067D" w:rsidRDefault="00950BDF" w:rsidP="002A32DA">
      <w:pPr>
        <w:pStyle w:val="Heading3"/>
        <w:numPr>
          <w:ilvl w:val="2"/>
          <w:numId w:val="24"/>
        </w:numPr>
        <w:spacing w:before="120" w:after="120" w:line="240" w:lineRule="auto"/>
        <w:ind w:left="567" w:hanging="567"/>
        <w:jc w:val="both"/>
        <w:rPr>
          <w:rFonts w:ascii="Times New Roman" w:hAnsi="Times New Roman" w:cs="Times New Roman"/>
          <w:b w:val="0"/>
          <w:color w:val="auto"/>
          <w:sz w:val="24"/>
          <w:szCs w:val="24"/>
          <w:u w:val="single"/>
        </w:rPr>
      </w:pPr>
      <w:bookmarkStart w:id="115" w:name="_Toc489886927"/>
      <w:bookmarkStart w:id="116" w:name="_Toc491994400"/>
      <w:bookmarkStart w:id="117" w:name="_Toc492991259"/>
      <w:bookmarkStart w:id="118" w:name="_Toc492991319"/>
      <w:bookmarkStart w:id="119" w:name="_Toc492991342"/>
      <w:r w:rsidRPr="009E067D">
        <w:rPr>
          <w:rFonts w:ascii="Times New Roman" w:hAnsi="Times New Roman" w:cs="Times New Roman"/>
          <w:b w:val="0"/>
          <w:color w:val="auto"/>
          <w:sz w:val="24"/>
          <w:szCs w:val="24"/>
          <w:u w:val="single"/>
        </w:rPr>
        <w:t>Оценка на финансовата жизнеспособност на проекта</w:t>
      </w:r>
      <w:bookmarkEnd w:id="115"/>
      <w:bookmarkEnd w:id="116"/>
      <w:bookmarkEnd w:id="117"/>
      <w:bookmarkEnd w:id="118"/>
      <w:bookmarkEnd w:id="119"/>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Генерираните от модела финансови потоци дават възможност за оценка на финансовата жизнеспособност на проекта по две направления:</w:t>
      </w:r>
    </w:p>
    <w:p w:rsidR="00950BDF" w:rsidRPr="00950BDF" w:rsidRDefault="00F32BC7" w:rsidP="002A32DA">
      <w:pPr>
        <w:pStyle w:val="ListParagraph"/>
        <w:numPr>
          <w:ilvl w:val="0"/>
          <w:numId w:val="15"/>
        </w:numPr>
        <w:spacing w:before="120" w:after="12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о</w:t>
      </w:r>
      <w:r w:rsidR="00950BDF" w:rsidRPr="00950BDF">
        <w:rPr>
          <w:rFonts w:ascii="Times New Roman" w:hAnsi="Times New Roman" w:cs="Times New Roman"/>
          <w:sz w:val="24"/>
          <w:szCs w:val="24"/>
        </w:rPr>
        <w:t>ценка на „изгладените“ разходи за производството на електрическа енергия (Levelised</w:t>
      </w:r>
      <w:r w:rsidR="002A0227">
        <w:rPr>
          <w:rFonts w:ascii="Times New Roman" w:hAnsi="Times New Roman" w:cs="Times New Roman"/>
          <w:sz w:val="24"/>
          <w:szCs w:val="24"/>
        </w:rPr>
        <w:t xml:space="preserve"> </w:t>
      </w:r>
      <w:r w:rsidR="00950BDF" w:rsidRPr="00950BDF">
        <w:rPr>
          <w:rFonts w:ascii="Times New Roman" w:hAnsi="Times New Roman" w:cs="Times New Roman"/>
          <w:sz w:val="24"/>
          <w:szCs w:val="24"/>
        </w:rPr>
        <w:t>cost</w:t>
      </w:r>
      <w:r w:rsidR="002A0227">
        <w:rPr>
          <w:rFonts w:ascii="Times New Roman" w:hAnsi="Times New Roman" w:cs="Times New Roman"/>
          <w:sz w:val="24"/>
          <w:szCs w:val="24"/>
        </w:rPr>
        <w:t xml:space="preserve"> </w:t>
      </w:r>
      <w:r w:rsidR="00950BDF" w:rsidRPr="00950BDF">
        <w:rPr>
          <w:rFonts w:ascii="Times New Roman" w:hAnsi="Times New Roman" w:cs="Times New Roman"/>
          <w:sz w:val="24"/>
          <w:szCs w:val="24"/>
        </w:rPr>
        <w:t>of</w:t>
      </w:r>
      <w:r w:rsidR="002A0227">
        <w:rPr>
          <w:rFonts w:ascii="Times New Roman" w:hAnsi="Times New Roman" w:cs="Times New Roman"/>
          <w:sz w:val="24"/>
          <w:szCs w:val="24"/>
        </w:rPr>
        <w:t xml:space="preserve"> </w:t>
      </w:r>
      <w:r w:rsidR="00950BDF" w:rsidRPr="00950BDF">
        <w:rPr>
          <w:rFonts w:ascii="Times New Roman" w:hAnsi="Times New Roman" w:cs="Times New Roman"/>
          <w:sz w:val="24"/>
          <w:szCs w:val="24"/>
        </w:rPr>
        <w:t>electricity – LCOE)</w:t>
      </w:r>
      <w:r>
        <w:rPr>
          <w:rFonts w:ascii="Times New Roman" w:hAnsi="Times New Roman" w:cs="Times New Roman"/>
          <w:sz w:val="24"/>
          <w:szCs w:val="24"/>
        </w:rPr>
        <w:t>;</w:t>
      </w:r>
    </w:p>
    <w:p w:rsidR="00950BDF" w:rsidRPr="00950BDF" w:rsidRDefault="00F32BC7" w:rsidP="002A32DA">
      <w:pPr>
        <w:pStyle w:val="ListParagraph"/>
        <w:numPr>
          <w:ilvl w:val="0"/>
          <w:numId w:val="15"/>
        </w:numPr>
        <w:spacing w:before="120" w:after="12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о</w:t>
      </w:r>
      <w:r w:rsidR="00950BDF" w:rsidRPr="00950BDF">
        <w:rPr>
          <w:rFonts w:ascii="Times New Roman" w:hAnsi="Times New Roman" w:cs="Times New Roman"/>
          <w:sz w:val="24"/>
          <w:szCs w:val="24"/>
        </w:rPr>
        <w:t>ценка на нетната настояща стойност (NPV) и вътрешната норма на възвръщаемост (IRR).</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И двете направления са еднакво подходящи за оценка на инвестиционни проекти в областта на енергетиката от гл.т. на тяхната доходност.</w:t>
      </w:r>
    </w:p>
    <w:p w:rsidR="00950BDF" w:rsidRPr="00950BDF" w:rsidRDefault="00950BDF" w:rsidP="00E44C19">
      <w:pPr>
        <w:spacing w:before="120" w:after="120" w:line="240" w:lineRule="auto"/>
        <w:jc w:val="both"/>
        <w:rPr>
          <w:rFonts w:ascii="Times New Roman" w:hAnsi="Times New Roman" w:cs="Times New Roman"/>
          <w:b/>
          <w:sz w:val="24"/>
          <w:szCs w:val="24"/>
        </w:rPr>
      </w:pPr>
    </w:p>
    <w:p w:rsidR="00950BDF" w:rsidRPr="00950BDF" w:rsidRDefault="00950BDF" w:rsidP="00E44C19">
      <w:pPr>
        <w:spacing w:before="120" w:after="120" w:line="240" w:lineRule="auto"/>
        <w:jc w:val="both"/>
        <w:rPr>
          <w:rFonts w:ascii="Times New Roman" w:hAnsi="Times New Roman" w:cs="Times New Roman"/>
          <w:b/>
          <w:sz w:val="24"/>
          <w:szCs w:val="24"/>
        </w:rPr>
      </w:pPr>
      <w:r w:rsidRPr="00950BDF">
        <w:rPr>
          <w:rFonts w:ascii="Times New Roman" w:hAnsi="Times New Roman" w:cs="Times New Roman"/>
          <w:b/>
          <w:sz w:val="24"/>
          <w:szCs w:val="24"/>
        </w:rPr>
        <w:t>Оценка на „изгладените“ разходи за произведената електрическа енергия</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„Изгладените“ разходи за производството на електрическа енергия представляват съотношение между дисконтираните:</w:t>
      </w:r>
    </w:p>
    <w:p w:rsidR="00950BDF" w:rsidRPr="00950BDF" w:rsidRDefault="00950BDF" w:rsidP="002A32DA">
      <w:pPr>
        <w:pStyle w:val="ListParagraph"/>
        <w:numPr>
          <w:ilvl w:val="0"/>
          <w:numId w:val="13"/>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t>разходи за проекта, в т.ч. капиталови разходи, разходи за експлоатация и управление, разходи за ядрено гориво, разходи за управление на радиоактивни отпадъци и разходи за извеждане от експлоатация на ядрени съоръжения</w:t>
      </w:r>
      <w:r w:rsidR="00F32BC7">
        <w:rPr>
          <w:rFonts w:ascii="Times New Roman" w:hAnsi="Times New Roman" w:cs="Times New Roman"/>
          <w:sz w:val="24"/>
          <w:szCs w:val="24"/>
        </w:rPr>
        <w:t>;</w:t>
      </w:r>
    </w:p>
    <w:p w:rsidR="00950BDF" w:rsidRPr="00950BDF" w:rsidRDefault="00950BDF" w:rsidP="002A32DA">
      <w:pPr>
        <w:pStyle w:val="ListParagraph"/>
        <w:numPr>
          <w:ilvl w:val="0"/>
          <w:numId w:val="13"/>
        </w:numPr>
        <w:tabs>
          <w:tab w:val="clear" w:pos="720"/>
          <w:tab w:val="num" w:pos="284"/>
        </w:tabs>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t>количество произведена електроенергия за целия референтен период на проекта.</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Показателят е единен за целия проект, при него не се разглеждат варианти. Той се изчислява по следната формула:</w:t>
      </w:r>
    </w:p>
    <w:p w:rsidR="00950BDF" w:rsidRPr="00950BDF" w:rsidRDefault="00950BDF" w:rsidP="00E44C19">
      <w:pPr>
        <w:spacing w:before="120" w:after="120" w:line="240" w:lineRule="auto"/>
        <w:jc w:val="both"/>
        <w:rPr>
          <w:rFonts w:ascii="Times New Roman" w:hAnsi="Times New Roman" w:cs="Times New Roman"/>
          <w:sz w:val="24"/>
          <w:szCs w:val="24"/>
          <w:lang w:val="en-US"/>
        </w:rPr>
      </w:pPr>
      <w:r w:rsidRPr="00950BDF">
        <w:rPr>
          <w:rFonts w:ascii="Times New Roman" w:hAnsi="Times New Roman" w:cs="Times New Roman"/>
          <w:position w:val="-32"/>
          <w:sz w:val="24"/>
          <w:szCs w:val="24"/>
        </w:rPr>
        <w:object w:dxaOrig="52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9pt;height:35.45pt" o:ole="">
            <v:imagedata r:id="rId14" o:title=""/>
          </v:shape>
          <o:OLEObject Type="Embed" ProgID="Equation.3" ShapeID="_x0000_i1025" DrawAspect="Content" ObjectID="_1567257671" r:id="rId15"/>
        </w:object>
      </w:r>
      <w:r w:rsidRPr="00950BDF">
        <w:rPr>
          <w:rFonts w:ascii="Times New Roman" w:hAnsi="Times New Roman" w:cs="Times New Roman"/>
          <w:sz w:val="24"/>
          <w:szCs w:val="24"/>
          <w:lang w:val="en-US"/>
        </w:rPr>
        <w:t>,</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където:</w:t>
      </w:r>
    </w:p>
    <w:p w:rsidR="00950BDF" w:rsidRPr="00F32BC7" w:rsidRDefault="00950BDF" w:rsidP="00E44C19">
      <w:pPr>
        <w:spacing w:before="120" w:after="120" w:line="240" w:lineRule="auto"/>
        <w:jc w:val="both"/>
        <w:rPr>
          <w:rFonts w:ascii="Times New Roman" w:hAnsi="Times New Roman" w:cs="Times New Roman"/>
          <w:sz w:val="24"/>
          <w:szCs w:val="24"/>
        </w:rPr>
      </w:pPr>
      <w:r w:rsidRPr="00641D24">
        <w:rPr>
          <w:rFonts w:ascii="Times New Roman" w:hAnsi="Times New Roman" w:cs="Times New Roman"/>
          <w:i/>
          <w:sz w:val="24"/>
          <w:szCs w:val="24"/>
          <w:lang w:val="en-US"/>
        </w:rPr>
        <w:t>Capital</w:t>
      </w:r>
      <w:r w:rsidRPr="00641D24">
        <w:rPr>
          <w:rFonts w:ascii="Times New Roman" w:hAnsi="Times New Roman" w:cs="Times New Roman"/>
          <w:i/>
          <w:sz w:val="24"/>
          <w:szCs w:val="24"/>
          <w:vertAlign w:val="subscript"/>
          <w:lang w:val="en-US"/>
        </w:rPr>
        <w:t>t</w:t>
      </w:r>
      <w:r w:rsidR="002A0227">
        <w:rPr>
          <w:rFonts w:ascii="Times New Roman" w:hAnsi="Times New Roman" w:cs="Times New Roman"/>
          <w:i/>
          <w:sz w:val="24"/>
          <w:szCs w:val="24"/>
          <w:vertAlign w:val="subscript"/>
        </w:rPr>
        <w:t xml:space="preserve"> </w:t>
      </w:r>
      <w:r w:rsidR="00F32BC7">
        <w:rPr>
          <w:rFonts w:ascii="Times New Roman" w:hAnsi="Times New Roman" w:cs="Times New Roman"/>
          <w:sz w:val="24"/>
          <w:szCs w:val="24"/>
        </w:rPr>
        <w:t>е</w:t>
      </w:r>
      <w:r w:rsidR="002A0227">
        <w:rPr>
          <w:rFonts w:ascii="Times New Roman" w:hAnsi="Times New Roman" w:cs="Times New Roman"/>
          <w:sz w:val="24"/>
          <w:szCs w:val="24"/>
        </w:rPr>
        <w:t xml:space="preserve"> </w:t>
      </w:r>
      <w:r w:rsidRPr="00950BDF">
        <w:rPr>
          <w:rFonts w:ascii="Times New Roman" w:hAnsi="Times New Roman" w:cs="Times New Roman"/>
          <w:sz w:val="24"/>
          <w:szCs w:val="24"/>
        </w:rPr>
        <w:t xml:space="preserve">общо капиталови разходи по проекта за година </w:t>
      </w:r>
      <w:r w:rsidRPr="00950BDF">
        <w:rPr>
          <w:rFonts w:ascii="Times New Roman" w:hAnsi="Times New Roman" w:cs="Times New Roman"/>
          <w:i/>
          <w:sz w:val="24"/>
          <w:szCs w:val="24"/>
        </w:rPr>
        <w:t>t</w:t>
      </w:r>
    </w:p>
    <w:p w:rsidR="00950BDF" w:rsidRPr="00950BDF" w:rsidRDefault="00950BDF" w:rsidP="00E44C19">
      <w:pPr>
        <w:spacing w:before="120" w:after="120" w:line="240" w:lineRule="auto"/>
        <w:jc w:val="both"/>
        <w:rPr>
          <w:rFonts w:ascii="Times New Roman" w:hAnsi="Times New Roman" w:cs="Times New Roman"/>
          <w:i/>
          <w:sz w:val="24"/>
          <w:szCs w:val="24"/>
        </w:rPr>
      </w:pPr>
      <w:r w:rsidRPr="00641D24">
        <w:rPr>
          <w:rFonts w:ascii="Times New Roman" w:hAnsi="Times New Roman" w:cs="Times New Roman"/>
          <w:i/>
          <w:sz w:val="24"/>
          <w:szCs w:val="24"/>
          <w:lang w:val="en-US"/>
        </w:rPr>
        <w:t>O&amp;M</w:t>
      </w:r>
      <w:r w:rsidRPr="00641D24">
        <w:rPr>
          <w:rFonts w:ascii="Times New Roman" w:hAnsi="Times New Roman" w:cs="Times New Roman"/>
          <w:i/>
          <w:sz w:val="24"/>
          <w:szCs w:val="24"/>
          <w:vertAlign w:val="subscript"/>
          <w:lang w:val="en-US"/>
        </w:rPr>
        <w:t>t</w:t>
      </w:r>
      <w:r w:rsidRPr="00950BDF">
        <w:rPr>
          <w:rFonts w:ascii="Times New Roman" w:hAnsi="Times New Roman" w:cs="Times New Roman"/>
          <w:sz w:val="24"/>
          <w:szCs w:val="24"/>
        </w:rPr>
        <w:t xml:space="preserve"> – общо разходи за експлоатация и поддръжка по проекта за година </w:t>
      </w:r>
      <w:r w:rsidRPr="00950BDF">
        <w:rPr>
          <w:rFonts w:ascii="Times New Roman" w:hAnsi="Times New Roman" w:cs="Times New Roman"/>
          <w:i/>
          <w:sz w:val="24"/>
          <w:szCs w:val="24"/>
        </w:rPr>
        <w:t>t</w:t>
      </w:r>
    </w:p>
    <w:p w:rsidR="00950BDF" w:rsidRPr="00950BDF" w:rsidRDefault="00950BDF" w:rsidP="00E44C19">
      <w:pPr>
        <w:spacing w:before="120" w:after="120" w:line="240" w:lineRule="auto"/>
        <w:jc w:val="both"/>
        <w:rPr>
          <w:rFonts w:ascii="Times New Roman" w:hAnsi="Times New Roman" w:cs="Times New Roman"/>
          <w:i/>
          <w:sz w:val="24"/>
          <w:szCs w:val="24"/>
        </w:rPr>
      </w:pPr>
      <w:r w:rsidRPr="00641D24">
        <w:rPr>
          <w:rFonts w:ascii="Times New Roman" w:hAnsi="Times New Roman" w:cs="Times New Roman"/>
          <w:i/>
          <w:sz w:val="24"/>
          <w:szCs w:val="24"/>
          <w:lang w:val="en-US"/>
        </w:rPr>
        <w:t>Fuel</w:t>
      </w:r>
      <w:r w:rsidRPr="00641D24">
        <w:rPr>
          <w:rFonts w:ascii="Times New Roman" w:hAnsi="Times New Roman" w:cs="Times New Roman"/>
          <w:i/>
          <w:sz w:val="24"/>
          <w:szCs w:val="24"/>
          <w:vertAlign w:val="subscript"/>
          <w:lang w:val="en-US"/>
        </w:rPr>
        <w:t>t</w:t>
      </w:r>
      <w:r w:rsidR="002A0227">
        <w:rPr>
          <w:rFonts w:ascii="Times New Roman" w:hAnsi="Times New Roman" w:cs="Times New Roman"/>
          <w:i/>
          <w:sz w:val="24"/>
          <w:szCs w:val="24"/>
          <w:vertAlign w:val="subscript"/>
        </w:rPr>
        <w:t xml:space="preserve"> </w:t>
      </w:r>
      <w:r w:rsidRPr="00950BDF">
        <w:rPr>
          <w:rFonts w:ascii="Times New Roman" w:hAnsi="Times New Roman" w:cs="Times New Roman"/>
          <w:sz w:val="24"/>
          <w:szCs w:val="24"/>
        </w:rPr>
        <w:t xml:space="preserve">– общо разходи за ядрено гориво по проекта за година </w:t>
      </w:r>
      <w:r w:rsidRPr="00950BDF">
        <w:rPr>
          <w:rFonts w:ascii="Times New Roman" w:hAnsi="Times New Roman" w:cs="Times New Roman"/>
          <w:i/>
          <w:sz w:val="24"/>
          <w:szCs w:val="24"/>
        </w:rPr>
        <w:t>t</w:t>
      </w:r>
    </w:p>
    <w:p w:rsidR="00950BDF" w:rsidRPr="00950BDF" w:rsidRDefault="00950BDF" w:rsidP="00E44C19">
      <w:pPr>
        <w:spacing w:before="120" w:after="120" w:line="240" w:lineRule="auto"/>
        <w:jc w:val="both"/>
        <w:rPr>
          <w:rFonts w:ascii="Times New Roman" w:hAnsi="Times New Roman" w:cs="Times New Roman"/>
          <w:i/>
          <w:sz w:val="24"/>
          <w:szCs w:val="24"/>
        </w:rPr>
      </w:pPr>
      <w:r w:rsidRPr="00641D24">
        <w:rPr>
          <w:rFonts w:ascii="Times New Roman" w:hAnsi="Times New Roman" w:cs="Times New Roman"/>
          <w:i/>
          <w:sz w:val="24"/>
          <w:szCs w:val="24"/>
          <w:lang w:val="en-US"/>
        </w:rPr>
        <w:lastRenderedPageBreak/>
        <w:t>D</w:t>
      </w:r>
      <w:r w:rsidRPr="00641D24">
        <w:rPr>
          <w:rFonts w:ascii="Times New Roman" w:hAnsi="Times New Roman" w:cs="Times New Roman"/>
          <w:i/>
          <w:sz w:val="24"/>
          <w:szCs w:val="24"/>
          <w:vertAlign w:val="subscript"/>
          <w:lang w:val="en-US"/>
        </w:rPr>
        <w:t>t</w:t>
      </w:r>
      <w:r w:rsidR="002A0227">
        <w:rPr>
          <w:rFonts w:ascii="Times New Roman" w:hAnsi="Times New Roman" w:cs="Times New Roman"/>
          <w:i/>
          <w:sz w:val="24"/>
          <w:szCs w:val="24"/>
          <w:vertAlign w:val="subscript"/>
        </w:rPr>
        <w:t xml:space="preserve"> </w:t>
      </w:r>
      <w:r w:rsidRPr="00950BDF">
        <w:rPr>
          <w:rFonts w:ascii="Times New Roman" w:hAnsi="Times New Roman" w:cs="Times New Roman"/>
          <w:sz w:val="24"/>
          <w:szCs w:val="24"/>
        </w:rPr>
        <w:t xml:space="preserve">– общо разходи за управление на радиоактивни отпадъци и разходи за извеждане от експлоатация на ядрени съоръжения по проекта за година </w:t>
      </w:r>
      <w:r w:rsidRPr="00950BDF">
        <w:rPr>
          <w:rFonts w:ascii="Times New Roman" w:hAnsi="Times New Roman" w:cs="Times New Roman"/>
          <w:i/>
          <w:sz w:val="24"/>
          <w:szCs w:val="24"/>
        </w:rPr>
        <w:t>t</w:t>
      </w:r>
    </w:p>
    <w:p w:rsidR="00950BDF" w:rsidRPr="00950BDF" w:rsidRDefault="00950BDF" w:rsidP="00E44C19">
      <w:pPr>
        <w:spacing w:before="120" w:after="120" w:line="240" w:lineRule="auto"/>
        <w:jc w:val="both"/>
        <w:rPr>
          <w:rFonts w:ascii="Times New Roman" w:hAnsi="Times New Roman" w:cs="Times New Roman"/>
          <w:i/>
          <w:sz w:val="24"/>
          <w:szCs w:val="24"/>
        </w:rPr>
      </w:pPr>
      <w:r w:rsidRPr="00641D24">
        <w:rPr>
          <w:rFonts w:ascii="Times New Roman" w:hAnsi="Times New Roman" w:cs="Times New Roman"/>
          <w:i/>
          <w:sz w:val="24"/>
          <w:szCs w:val="24"/>
          <w:lang w:val="en-US"/>
        </w:rPr>
        <w:t>MWh</w:t>
      </w:r>
      <w:r w:rsidRPr="00641D24">
        <w:rPr>
          <w:rFonts w:ascii="Times New Roman" w:hAnsi="Times New Roman" w:cs="Times New Roman"/>
          <w:i/>
          <w:sz w:val="24"/>
          <w:szCs w:val="24"/>
          <w:vertAlign w:val="subscript"/>
          <w:lang w:val="en-US"/>
        </w:rPr>
        <w:t>t</w:t>
      </w:r>
      <w:r w:rsidRPr="00950BDF">
        <w:rPr>
          <w:rFonts w:ascii="Times New Roman" w:hAnsi="Times New Roman" w:cs="Times New Roman"/>
          <w:sz w:val="24"/>
          <w:szCs w:val="24"/>
        </w:rPr>
        <w:t xml:space="preserve"> – общо произведено количество електроенергия за година </w:t>
      </w:r>
      <w:r w:rsidRPr="00950BDF">
        <w:rPr>
          <w:rFonts w:ascii="Times New Roman" w:hAnsi="Times New Roman" w:cs="Times New Roman"/>
          <w:i/>
          <w:sz w:val="24"/>
          <w:szCs w:val="24"/>
        </w:rPr>
        <w:t>t</w:t>
      </w:r>
    </w:p>
    <w:p w:rsidR="00950BDF" w:rsidRPr="00950BDF" w:rsidRDefault="00950BDF" w:rsidP="00E44C19">
      <w:pPr>
        <w:spacing w:before="120" w:after="120" w:line="240" w:lineRule="auto"/>
        <w:jc w:val="both"/>
        <w:rPr>
          <w:rFonts w:ascii="Times New Roman" w:hAnsi="Times New Roman" w:cs="Times New Roman"/>
          <w:i/>
          <w:sz w:val="24"/>
          <w:szCs w:val="24"/>
        </w:rPr>
      </w:pPr>
      <w:r w:rsidRPr="00641D24">
        <w:rPr>
          <w:rFonts w:ascii="Times New Roman" w:hAnsi="Times New Roman" w:cs="Times New Roman"/>
          <w:i/>
          <w:sz w:val="24"/>
          <w:szCs w:val="24"/>
          <w:lang w:val="en-US"/>
        </w:rPr>
        <w:t>(1+r)</w:t>
      </w:r>
      <w:r w:rsidRPr="00641D24">
        <w:rPr>
          <w:rFonts w:ascii="Times New Roman" w:hAnsi="Times New Roman" w:cs="Times New Roman"/>
          <w:i/>
          <w:sz w:val="24"/>
          <w:szCs w:val="24"/>
          <w:vertAlign w:val="superscript"/>
          <w:lang w:val="en-US"/>
        </w:rPr>
        <w:t>-t</w:t>
      </w:r>
      <w:r w:rsidR="002A0227">
        <w:rPr>
          <w:rFonts w:ascii="Times New Roman" w:hAnsi="Times New Roman" w:cs="Times New Roman"/>
          <w:i/>
          <w:sz w:val="24"/>
          <w:szCs w:val="24"/>
          <w:vertAlign w:val="superscript"/>
        </w:rPr>
        <w:t xml:space="preserve"> </w:t>
      </w:r>
      <w:r w:rsidRPr="00950BDF">
        <w:rPr>
          <w:rFonts w:ascii="Times New Roman" w:hAnsi="Times New Roman" w:cs="Times New Roman"/>
          <w:sz w:val="24"/>
          <w:szCs w:val="24"/>
        </w:rPr>
        <w:t xml:space="preserve">– дисконтов фактор за година </w:t>
      </w:r>
      <w:r w:rsidRPr="00950BDF">
        <w:rPr>
          <w:rFonts w:ascii="Times New Roman" w:hAnsi="Times New Roman" w:cs="Times New Roman"/>
          <w:i/>
          <w:sz w:val="24"/>
          <w:szCs w:val="24"/>
        </w:rPr>
        <w:t>t.</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 xml:space="preserve">Стойността на показателя LCOE показва цената, при която проектът става печеливш </w:t>
      </w:r>
      <w:r w:rsidRPr="00950BDF">
        <w:rPr>
          <w:rFonts w:ascii="Times New Roman" w:hAnsi="Times New Roman" w:cs="Times New Roman"/>
          <w:i/>
          <w:sz w:val="24"/>
          <w:szCs w:val="24"/>
        </w:rPr>
        <w:t>(break-even),</w:t>
      </w:r>
      <w:r w:rsidRPr="00950BDF">
        <w:rPr>
          <w:rFonts w:ascii="Times New Roman" w:hAnsi="Times New Roman" w:cs="Times New Roman"/>
          <w:sz w:val="24"/>
          <w:szCs w:val="24"/>
        </w:rPr>
        <w:t xml:space="preserve"> т.е. ще генерира достатъчно парични потоци не само да покрива всички разходи</w:t>
      </w:r>
      <w:r w:rsidRPr="00950BDF">
        <w:rPr>
          <w:rFonts w:ascii="Times New Roman" w:hAnsi="Times New Roman" w:cs="Times New Roman"/>
          <w:sz w:val="24"/>
          <w:szCs w:val="24"/>
          <w:lang w:val="en-US"/>
        </w:rPr>
        <w:t xml:space="preserve"> (</w:t>
      </w:r>
      <w:r w:rsidRPr="00950BDF">
        <w:rPr>
          <w:rFonts w:ascii="Times New Roman" w:hAnsi="Times New Roman" w:cs="Times New Roman"/>
          <w:sz w:val="24"/>
          <w:szCs w:val="24"/>
        </w:rPr>
        <w:t>в т.ч. капиталови и оперативни), но и да осигури възвръщаемост на инвестирания капитал, която е съпоставима с възвръщаемостта от алтернативни  капиталовложения, но не по-висока.</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 xml:space="preserve">Този подход елиминира необходимостта от прогнозиране </w:t>
      </w:r>
      <w:r w:rsidR="00521AEA">
        <w:rPr>
          <w:rFonts w:ascii="Times New Roman" w:hAnsi="Times New Roman" w:cs="Times New Roman"/>
          <w:sz w:val="24"/>
          <w:szCs w:val="24"/>
        </w:rPr>
        <w:t xml:space="preserve">на </w:t>
      </w:r>
      <w:r w:rsidRPr="00950BDF">
        <w:rPr>
          <w:rFonts w:ascii="Times New Roman" w:hAnsi="Times New Roman" w:cs="Times New Roman"/>
          <w:sz w:val="24"/>
          <w:szCs w:val="24"/>
        </w:rPr>
        <w:t>бъдещите нива на цените на електроенергията, при която съществува голяма доза несигурност и много често зависи от политически решения, непазарни елементи, субсидии и др. в различните страни. LCOE е прозрачен и широко използван показател от Международната агенция по енергетика (International Energy Agency</w:t>
      </w:r>
      <w:r w:rsidR="002A0227">
        <w:rPr>
          <w:rFonts w:ascii="Times New Roman" w:hAnsi="Times New Roman" w:cs="Times New Roman"/>
          <w:sz w:val="24"/>
          <w:szCs w:val="24"/>
        </w:rPr>
        <w:t xml:space="preserve"> </w:t>
      </w:r>
      <w:r w:rsidR="00F32BC7">
        <w:rPr>
          <w:rFonts w:ascii="Times New Roman" w:hAnsi="Times New Roman" w:cs="Times New Roman"/>
          <w:sz w:val="24"/>
          <w:szCs w:val="24"/>
        </w:rPr>
        <w:t>–</w:t>
      </w:r>
      <w:r w:rsidRPr="00950BDF">
        <w:rPr>
          <w:rFonts w:ascii="Times New Roman" w:hAnsi="Times New Roman" w:cs="Times New Roman"/>
          <w:sz w:val="24"/>
          <w:szCs w:val="24"/>
        </w:rPr>
        <w:t xml:space="preserve"> IEA) и Агенцията за ядрена енергетика (Nuclear Energy Agency – NEA) към Организацията за икономическо сътрудничество и развитие (Organization</w:t>
      </w:r>
      <w:r w:rsidR="002A0227">
        <w:rPr>
          <w:rFonts w:ascii="Times New Roman" w:hAnsi="Times New Roman" w:cs="Times New Roman"/>
          <w:sz w:val="24"/>
          <w:szCs w:val="24"/>
        </w:rPr>
        <w:t xml:space="preserve"> </w:t>
      </w:r>
      <w:r w:rsidRPr="00950BDF">
        <w:rPr>
          <w:rFonts w:ascii="Times New Roman" w:hAnsi="Times New Roman" w:cs="Times New Roman"/>
          <w:sz w:val="24"/>
          <w:szCs w:val="24"/>
        </w:rPr>
        <w:t>of Economic Co-operationand</w:t>
      </w:r>
      <w:r w:rsidR="002A0227">
        <w:rPr>
          <w:rFonts w:ascii="Times New Roman" w:hAnsi="Times New Roman" w:cs="Times New Roman"/>
          <w:sz w:val="24"/>
          <w:szCs w:val="24"/>
        </w:rPr>
        <w:t xml:space="preserve"> </w:t>
      </w:r>
      <w:r w:rsidRPr="00950BDF">
        <w:rPr>
          <w:rFonts w:ascii="Times New Roman" w:hAnsi="Times New Roman" w:cs="Times New Roman"/>
          <w:sz w:val="24"/>
          <w:szCs w:val="24"/>
        </w:rPr>
        <w:t>Development</w:t>
      </w:r>
      <w:r w:rsidR="002A0227">
        <w:rPr>
          <w:rFonts w:ascii="Times New Roman" w:hAnsi="Times New Roman" w:cs="Times New Roman"/>
          <w:sz w:val="24"/>
          <w:szCs w:val="24"/>
        </w:rPr>
        <w:t xml:space="preserve"> </w:t>
      </w:r>
      <w:r w:rsidR="00F32BC7">
        <w:rPr>
          <w:rFonts w:ascii="Times New Roman" w:hAnsi="Times New Roman" w:cs="Times New Roman"/>
          <w:sz w:val="24"/>
          <w:szCs w:val="24"/>
        </w:rPr>
        <w:t>–</w:t>
      </w:r>
      <w:r w:rsidRPr="00950BDF">
        <w:rPr>
          <w:rFonts w:ascii="Times New Roman" w:hAnsi="Times New Roman" w:cs="Times New Roman"/>
          <w:sz w:val="24"/>
          <w:szCs w:val="24"/>
        </w:rPr>
        <w:t xml:space="preserve"> OECD) при анализи на енергийни проекти. В последния доклад относно прогнозните разходи за производство на електроенергия от 2015 г.</w:t>
      </w:r>
      <w:r w:rsidRPr="00950BDF">
        <w:rPr>
          <w:rStyle w:val="FootnoteReference"/>
          <w:rFonts w:ascii="Times New Roman" w:hAnsi="Times New Roman" w:cs="Times New Roman"/>
          <w:sz w:val="24"/>
          <w:szCs w:val="24"/>
        </w:rPr>
        <w:footnoteReference w:id="7"/>
      </w:r>
      <w:r w:rsidRPr="00950BDF">
        <w:rPr>
          <w:rFonts w:ascii="Times New Roman" w:hAnsi="Times New Roman" w:cs="Times New Roman"/>
          <w:sz w:val="24"/>
          <w:szCs w:val="24"/>
        </w:rPr>
        <w:t xml:space="preserve"> на IEA/OECD/NEA е оценен LCOE на проекти в различните енергийни сектори</w:t>
      </w:r>
      <w:r w:rsidR="00521AEA">
        <w:rPr>
          <w:rFonts w:ascii="Times New Roman" w:hAnsi="Times New Roman" w:cs="Times New Roman"/>
          <w:sz w:val="24"/>
          <w:szCs w:val="24"/>
        </w:rPr>
        <w:t>,</w:t>
      </w:r>
      <w:r w:rsidRPr="00950BDF">
        <w:rPr>
          <w:rFonts w:ascii="Times New Roman" w:hAnsi="Times New Roman" w:cs="Times New Roman"/>
          <w:sz w:val="24"/>
          <w:szCs w:val="24"/>
        </w:rPr>
        <w:t xml:space="preserve"> в т.ч. ядрена енергетика</w:t>
      </w:r>
      <w:r w:rsidR="00521AEA">
        <w:rPr>
          <w:rFonts w:ascii="Times New Roman" w:hAnsi="Times New Roman" w:cs="Times New Roman"/>
          <w:sz w:val="24"/>
          <w:szCs w:val="24"/>
        </w:rPr>
        <w:t>,</w:t>
      </w:r>
      <w:r w:rsidRPr="00950BDF">
        <w:rPr>
          <w:rFonts w:ascii="Times New Roman" w:hAnsi="Times New Roman" w:cs="Times New Roman"/>
          <w:sz w:val="24"/>
          <w:szCs w:val="24"/>
        </w:rPr>
        <w:t xml:space="preserve"> като са приложени </w:t>
      </w:r>
      <w:r w:rsidRPr="00950BDF">
        <w:rPr>
          <w:rFonts w:ascii="Times New Roman" w:hAnsi="Times New Roman" w:cs="Times New Roman"/>
          <w:i/>
          <w:sz w:val="24"/>
          <w:szCs w:val="24"/>
        </w:rPr>
        <w:t>„три различни реални норми на дисконтиране: 3% дисконтова норма (съответстваща приблизително на социалните разходи за капитала)</w:t>
      </w:r>
      <w:r w:rsidR="00521AEA">
        <w:rPr>
          <w:rFonts w:ascii="Times New Roman" w:hAnsi="Times New Roman" w:cs="Times New Roman"/>
          <w:i/>
          <w:sz w:val="24"/>
          <w:szCs w:val="24"/>
        </w:rPr>
        <w:t>,</w:t>
      </w:r>
      <w:r w:rsidRPr="00950BDF">
        <w:rPr>
          <w:rFonts w:ascii="Times New Roman" w:hAnsi="Times New Roman" w:cs="Times New Roman"/>
          <w:i/>
          <w:sz w:val="24"/>
          <w:szCs w:val="24"/>
        </w:rPr>
        <w:t xml:space="preserve"> 7% дисконтова норма (съответстваща приблизително на нормата на възвръщаемост на дерегулирани или преструктурирани пазари)</w:t>
      </w:r>
      <w:r w:rsidR="00521AEA">
        <w:rPr>
          <w:rFonts w:ascii="Times New Roman" w:hAnsi="Times New Roman" w:cs="Times New Roman"/>
          <w:i/>
          <w:sz w:val="24"/>
          <w:szCs w:val="24"/>
        </w:rPr>
        <w:t>,</w:t>
      </w:r>
      <w:r w:rsidRPr="00950BDF">
        <w:rPr>
          <w:rFonts w:ascii="Times New Roman" w:hAnsi="Times New Roman" w:cs="Times New Roman"/>
          <w:i/>
          <w:sz w:val="24"/>
          <w:szCs w:val="24"/>
        </w:rPr>
        <w:t xml:space="preserve"> и 10% дисконтова норма (съответстваща приблизително на нормата на възвръщаемост при високорискови пазари)“</w:t>
      </w:r>
      <w:r w:rsidRPr="00950BDF">
        <w:rPr>
          <w:rFonts w:ascii="Times New Roman" w:hAnsi="Times New Roman" w:cs="Times New Roman"/>
          <w:sz w:val="24"/>
          <w:szCs w:val="24"/>
        </w:rPr>
        <w:t>.</w:t>
      </w:r>
    </w:p>
    <w:p w:rsidR="00950BDF" w:rsidRPr="00950BDF" w:rsidRDefault="00950BDF" w:rsidP="00E44C19">
      <w:pPr>
        <w:spacing w:before="120" w:after="120" w:line="240" w:lineRule="auto"/>
        <w:jc w:val="both"/>
        <w:rPr>
          <w:rFonts w:ascii="Times New Roman" w:hAnsi="Times New Roman" w:cs="Times New Roman"/>
          <w:sz w:val="24"/>
          <w:szCs w:val="24"/>
        </w:rPr>
      </w:pPr>
    </w:p>
    <w:p w:rsidR="00950BDF" w:rsidRPr="00950BDF" w:rsidRDefault="00950BDF" w:rsidP="00E44C19">
      <w:pPr>
        <w:spacing w:before="120" w:after="120" w:line="240" w:lineRule="auto"/>
        <w:jc w:val="both"/>
        <w:rPr>
          <w:rFonts w:ascii="Times New Roman" w:hAnsi="Times New Roman" w:cs="Times New Roman"/>
          <w:b/>
          <w:sz w:val="24"/>
          <w:szCs w:val="24"/>
        </w:rPr>
      </w:pPr>
      <w:r w:rsidRPr="00950BDF">
        <w:rPr>
          <w:rFonts w:ascii="Times New Roman" w:hAnsi="Times New Roman" w:cs="Times New Roman"/>
          <w:b/>
          <w:sz w:val="24"/>
          <w:szCs w:val="24"/>
        </w:rPr>
        <w:t>Оценка на нетната настояща стойност и вътрешната норма на възвръщаемост</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Второто методологическо направление включва изчисляване на нетната настояща стойност (NPV) и вътрешната норма на възвръщаемост (IRR).</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NPV на проекта се изчислява чрез дисконтиране на номиналните нетни парични потоци чрез прилагане на подходяща дисконтова норма. Стойността на NPV се влияе силно от стойността на прилаганата дисконтова норма, както и от нивото на цените. В тази връзка се приема, че ако NPV е положителна величина, то проектът е рентабилен.</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IRR представлява дисконтовата норма, при която NPV на проекта става равна на 0. Проектът е рентабилен, ако IRR е равна или по-висока от дисконтовата норма, приложена за изчисляване на NPV.</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Посочените два показателя са изчислени, както следва:</w:t>
      </w:r>
    </w:p>
    <w:p w:rsidR="00950BDF" w:rsidRPr="00950BDF" w:rsidRDefault="00950BDF" w:rsidP="002A32DA">
      <w:pPr>
        <w:pStyle w:val="ListParagraph"/>
        <w:numPr>
          <w:ilvl w:val="0"/>
          <w:numId w:val="14"/>
        </w:numPr>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b/>
          <w:i/>
          <w:sz w:val="24"/>
          <w:szCs w:val="24"/>
        </w:rPr>
        <w:t>NPV и IRR общо за проекта, преди финансиране</w:t>
      </w:r>
      <w:r w:rsidRPr="00950BDF">
        <w:rPr>
          <w:rFonts w:ascii="Times New Roman" w:hAnsi="Times New Roman" w:cs="Times New Roman"/>
          <w:sz w:val="24"/>
          <w:szCs w:val="24"/>
        </w:rPr>
        <w:t>. За целта се използва нетен паричен поток, формиран от следните елементи:</w:t>
      </w:r>
    </w:p>
    <w:p w:rsidR="00950BDF" w:rsidRPr="00950BDF" w:rsidRDefault="00950BDF" w:rsidP="00E44C19">
      <w:pPr>
        <w:spacing w:before="120" w:after="120" w:line="240" w:lineRule="auto"/>
        <w:jc w:val="both"/>
        <w:rPr>
          <w:rFonts w:ascii="Times New Roman" w:hAnsi="Times New Roman" w:cs="Times New Roman"/>
          <w:i/>
          <w:sz w:val="24"/>
          <w:szCs w:val="24"/>
        </w:rPr>
      </w:pPr>
      <w:r w:rsidRPr="00950BDF">
        <w:rPr>
          <w:rFonts w:ascii="Times New Roman" w:hAnsi="Times New Roman" w:cs="Times New Roman"/>
          <w:i/>
          <w:sz w:val="24"/>
          <w:szCs w:val="24"/>
        </w:rPr>
        <w:t>Нетен паричен поток = EBITDA – Capex – CWC – T,</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където:</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i/>
          <w:sz w:val="24"/>
          <w:szCs w:val="24"/>
        </w:rPr>
        <w:lastRenderedPageBreak/>
        <w:t>EBITDA (Earnings</w:t>
      </w:r>
      <w:r w:rsidR="002A0227">
        <w:rPr>
          <w:rFonts w:ascii="Times New Roman" w:hAnsi="Times New Roman" w:cs="Times New Roman"/>
          <w:i/>
          <w:sz w:val="24"/>
          <w:szCs w:val="24"/>
        </w:rPr>
        <w:t xml:space="preserve"> </w:t>
      </w:r>
      <w:r w:rsidRPr="00950BDF">
        <w:rPr>
          <w:rFonts w:ascii="Times New Roman" w:hAnsi="Times New Roman" w:cs="Times New Roman"/>
          <w:i/>
          <w:sz w:val="24"/>
          <w:szCs w:val="24"/>
        </w:rPr>
        <w:t>before</w:t>
      </w:r>
      <w:r w:rsidR="002A0227">
        <w:rPr>
          <w:rFonts w:ascii="Times New Roman" w:hAnsi="Times New Roman" w:cs="Times New Roman"/>
          <w:i/>
          <w:sz w:val="24"/>
          <w:szCs w:val="24"/>
        </w:rPr>
        <w:t xml:space="preserve"> </w:t>
      </w:r>
      <w:r w:rsidRPr="00950BDF">
        <w:rPr>
          <w:rFonts w:ascii="Times New Roman" w:hAnsi="Times New Roman" w:cs="Times New Roman"/>
          <w:i/>
          <w:sz w:val="24"/>
          <w:szCs w:val="24"/>
        </w:rPr>
        <w:t>interest, taxation, depreciation</w:t>
      </w:r>
      <w:r w:rsidR="002A0227">
        <w:rPr>
          <w:rFonts w:ascii="Times New Roman" w:hAnsi="Times New Roman" w:cs="Times New Roman"/>
          <w:i/>
          <w:sz w:val="24"/>
          <w:szCs w:val="24"/>
        </w:rPr>
        <w:t xml:space="preserve"> </w:t>
      </w:r>
      <w:r w:rsidRPr="00950BDF">
        <w:rPr>
          <w:rFonts w:ascii="Times New Roman" w:hAnsi="Times New Roman" w:cs="Times New Roman"/>
          <w:i/>
          <w:sz w:val="24"/>
          <w:szCs w:val="24"/>
        </w:rPr>
        <w:t>and</w:t>
      </w:r>
      <w:r w:rsidR="002A0227">
        <w:rPr>
          <w:rFonts w:ascii="Times New Roman" w:hAnsi="Times New Roman" w:cs="Times New Roman"/>
          <w:i/>
          <w:sz w:val="24"/>
          <w:szCs w:val="24"/>
        </w:rPr>
        <w:t xml:space="preserve"> </w:t>
      </w:r>
      <w:r w:rsidRPr="00950BDF">
        <w:rPr>
          <w:rFonts w:ascii="Times New Roman" w:hAnsi="Times New Roman" w:cs="Times New Roman"/>
          <w:i/>
          <w:sz w:val="24"/>
          <w:szCs w:val="24"/>
        </w:rPr>
        <w:t xml:space="preserve">amortization) </w:t>
      </w:r>
      <w:r w:rsidR="00641D24">
        <w:rPr>
          <w:rFonts w:ascii="Times New Roman" w:hAnsi="Times New Roman" w:cs="Times New Roman"/>
          <w:sz w:val="24"/>
          <w:szCs w:val="24"/>
        </w:rPr>
        <w:t>е</w:t>
      </w:r>
      <w:r w:rsidRPr="00950BDF">
        <w:rPr>
          <w:rFonts w:ascii="Times New Roman" w:hAnsi="Times New Roman" w:cs="Times New Roman"/>
          <w:sz w:val="24"/>
          <w:szCs w:val="24"/>
        </w:rPr>
        <w:t xml:space="preserve"> разликата между приходите и разходите на проекта преди изплащане на лихви и начисляване на амортизации)</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i/>
          <w:sz w:val="24"/>
          <w:szCs w:val="24"/>
        </w:rPr>
        <w:t>Capex –</w:t>
      </w:r>
      <w:r w:rsidR="00641D24">
        <w:rPr>
          <w:rFonts w:ascii="Times New Roman" w:hAnsi="Times New Roman" w:cs="Times New Roman"/>
          <w:sz w:val="24"/>
          <w:szCs w:val="24"/>
        </w:rPr>
        <w:t>общо капиталови</w:t>
      </w:r>
      <w:r w:rsidRPr="00950BDF">
        <w:rPr>
          <w:rFonts w:ascii="Times New Roman" w:hAnsi="Times New Roman" w:cs="Times New Roman"/>
          <w:sz w:val="24"/>
          <w:szCs w:val="24"/>
        </w:rPr>
        <w:t xml:space="preserve"> разходи по проекта</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i/>
          <w:sz w:val="24"/>
          <w:szCs w:val="24"/>
        </w:rPr>
        <w:t>CWC (Change</w:t>
      </w:r>
      <w:r w:rsidR="002A0227">
        <w:rPr>
          <w:rFonts w:ascii="Times New Roman" w:hAnsi="Times New Roman" w:cs="Times New Roman"/>
          <w:i/>
          <w:sz w:val="24"/>
          <w:szCs w:val="24"/>
        </w:rPr>
        <w:t xml:space="preserve"> </w:t>
      </w:r>
      <w:r w:rsidRPr="00950BDF">
        <w:rPr>
          <w:rFonts w:ascii="Times New Roman" w:hAnsi="Times New Roman" w:cs="Times New Roman"/>
          <w:i/>
          <w:sz w:val="24"/>
          <w:szCs w:val="24"/>
        </w:rPr>
        <w:t>in</w:t>
      </w:r>
      <w:r w:rsidR="002A0227">
        <w:rPr>
          <w:rFonts w:ascii="Times New Roman" w:hAnsi="Times New Roman" w:cs="Times New Roman"/>
          <w:i/>
          <w:sz w:val="24"/>
          <w:szCs w:val="24"/>
        </w:rPr>
        <w:t xml:space="preserve"> </w:t>
      </w:r>
      <w:r w:rsidRPr="00950BDF">
        <w:rPr>
          <w:rFonts w:ascii="Times New Roman" w:hAnsi="Times New Roman" w:cs="Times New Roman"/>
          <w:i/>
          <w:sz w:val="24"/>
          <w:szCs w:val="24"/>
        </w:rPr>
        <w:t>working</w:t>
      </w:r>
      <w:r w:rsidR="002A0227">
        <w:rPr>
          <w:rFonts w:ascii="Times New Roman" w:hAnsi="Times New Roman" w:cs="Times New Roman"/>
          <w:i/>
          <w:sz w:val="24"/>
          <w:szCs w:val="24"/>
        </w:rPr>
        <w:t xml:space="preserve"> </w:t>
      </w:r>
      <w:r w:rsidRPr="00950BDF">
        <w:rPr>
          <w:rFonts w:ascii="Times New Roman" w:hAnsi="Times New Roman" w:cs="Times New Roman"/>
          <w:i/>
          <w:sz w:val="24"/>
          <w:szCs w:val="24"/>
        </w:rPr>
        <w:t xml:space="preserve">capital) – </w:t>
      </w:r>
      <w:r w:rsidR="00641D24">
        <w:rPr>
          <w:rFonts w:ascii="Times New Roman" w:hAnsi="Times New Roman" w:cs="Times New Roman"/>
          <w:sz w:val="24"/>
          <w:szCs w:val="24"/>
        </w:rPr>
        <w:t>п</w:t>
      </w:r>
      <w:r w:rsidRPr="00950BDF">
        <w:rPr>
          <w:rFonts w:ascii="Times New Roman" w:hAnsi="Times New Roman" w:cs="Times New Roman"/>
          <w:sz w:val="24"/>
          <w:szCs w:val="24"/>
        </w:rPr>
        <w:t>ромяната в оборотния капитал</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i/>
          <w:sz w:val="24"/>
          <w:szCs w:val="24"/>
        </w:rPr>
        <w:t>Т</w:t>
      </w:r>
      <w:r w:rsidRPr="00950BDF">
        <w:rPr>
          <w:rFonts w:ascii="Times New Roman" w:hAnsi="Times New Roman" w:cs="Times New Roman"/>
          <w:sz w:val="24"/>
          <w:szCs w:val="24"/>
        </w:rPr>
        <w:t xml:space="preserve"> –величината на корпоративния данък.</w:t>
      </w:r>
    </w:p>
    <w:p w:rsidR="00950BDF" w:rsidRPr="00950BDF" w:rsidRDefault="00950BDF" w:rsidP="002A32DA">
      <w:pPr>
        <w:pStyle w:val="ListParagraph"/>
        <w:numPr>
          <w:ilvl w:val="0"/>
          <w:numId w:val="14"/>
        </w:numPr>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b/>
          <w:i/>
          <w:sz w:val="24"/>
          <w:szCs w:val="24"/>
        </w:rPr>
        <w:t>IRR за инвеститора</w:t>
      </w:r>
      <w:r w:rsidRPr="00950BDF">
        <w:rPr>
          <w:rFonts w:ascii="Times New Roman" w:hAnsi="Times New Roman" w:cs="Times New Roman"/>
          <w:sz w:val="24"/>
          <w:szCs w:val="24"/>
        </w:rPr>
        <w:t>. За целта се използва нетен паричен поток, формиран от следните елементи:</w:t>
      </w:r>
    </w:p>
    <w:p w:rsidR="00950BDF" w:rsidRPr="00950BDF" w:rsidRDefault="00641D24" w:rsidP="002A32DA">
      <w:pPr>
        <w:pStyle w:val="ListParagraph"/>
        <w:numPr>
          <w:ilvl w:val="1"/>
          <w:numId w:val="27"/>
        </w:numPr>
        <w:spacing w:before="120" w:after="120" w:line="240" w:lineRule="auto"/>
        <w:ind w:left="567" w:hanging="283"/>
        <w:contextualSpacing w:val="0"/>
        <w:jc w:val="both"/>
        <w:rPr>
          <w:rFonts w:ascii="Times New Roman" w:hAnsi="Times New Roman" w:cs="Times New Roman"/>
          <w:sz w:val="24"/>
          <w:szCs w:val="24"/>
        </w:rPr>
      </w:pPr>
      <w:r>
        <w:rPr>
          <w:rFonts w:ascii="Times New Roman" w:hAnsi="Times New Roman" w:cs="Times New Roman"/>
          <w:i/>
          <w:sz w:val="24"/>
          <w:szCs w:val="24"/>
        </w:rPr>
        <w:t>п</w:t>
      </w:r>
      <w:r w:rsidR="00950BDF" w:rsidRPr="00950BDF">
        <w:rPr>
          <w:rFonts w:ascii="Times New Roman" w:hAnsi="Times New Roman" w:cs="Times New Roman"/>
          <w:i/>
          <w:sz w:val="24"/>
          <w:szCs w:val="24"/>
        </w:rPr>
        <w:t xml:space="preserve">рез годините, обхващащи фазата на строителството </w:t>
      </w:r>
      <w:r w:rsidR="00950BDF" w:rsidRPr="00950BDF">
        <w:rPr>
          <w:rFonts w:ascii="Times New Roman" w:hAnsi="Times New Roman" w:cs="Times New Roman"/>
          <w:sz w:val="24"/>
          <w:szCs w:val="24"/>
        </w:rPr>
        <w:t>– паричният поток се формира от средствата, които частният инвеститор и държавата са авансирали в проекта като свое участие. При Варианти 1, 2 и 3, където няма участие на държавата, това е съответно 50, 40 и 30% от стойността на общите капиталови разходи на проекта</w:t>
      </w:r>
      <w:r>
        <w:rPr>
          <w:rFonts w:ascii="Times New Roman" w:hAnsi="Times New Roman" w:cs="Times New Roman"/>
          <w:sz w:val="24"/>
          <w:szCs w:val="24"/>
        </w:rPr>
        <w:t>,</w:t>
      </w:r>
      <w:r w:rsidR="00950BDF" w:rsidRPr="00950BDF">
        <w:rPr>
          <w:rFonts w:ascii="Times New Roman" w:hAnsi="Times New Roman" w:cs="Times New Roman"/>
          <w:sz w:val="24"/>
          <w:szCs w:val="24"/>
        </w:rPr>
        <w:t xml:space="preserve"> в съответствие с приетото съотношение дълг/собствен капитал. При Варианти 4, 5 и 6 има участие на държавата с апорт, който е един и същ в трите варианта (1</w:t>
      </w:r>
      <w:r w:rsidR="003852F9">
        <w:rPr>
          <w:rFonts w:ascii="Times New Roman" w:hAnsi="Times New Roman" w:cs="Times New Roman"/>
          <w:sz w:val="24"/>
          <w:szCs w:val="24"/>
          <w:lang w:val="en-US"/>
        </w:rPr>
        <w:t>,</w:t>
      </w:r>
      <w:r w:rsidR="00950BDF" w:rsidRPr="00950BDF">
        <w:rPr>
          <w:rFonts w:ascii="Times New Roman" w:hAnsi="Times New Roman" w:cs="Times New Roman"/>
          <w:sz w:val="24"/>
          <w:szCs w:val="24"/>
        </w:rPr>
        <w:t xml:space="preserve">17 млрд. евро), както и участие на частен инвеститор. В резултат от различните съотношения дълг/собствен капитал при Варианти 4, 5 и 6 и непроменящия се размер </w:t>
      </w:r>
      <w:r>
        <w:rPr>
          <w:rFonts w:ascii="Times New Roman" w:hAnsi="Times New Roman" w:cs="Times New Roman"/>
          <w:sz w:val="24"/>
          <w:szCs w:val="24"/>
        </w:rPr>
        <w:t>на апорта, размерът на участие</w:t>
      </w:r>
      <w:r w:rsidR="00950BDF" w:rsidRPr="00950BDF">
        <w:rPr>
          <w:rFonts w:ascii="Times New Roman" w:hAnsi="Times New Roman" w:cs="Times New Roman"/>
          <w:sz w:val="24"/>
          <w:szCs w:val="24"/>
        </w:rPr>
        <w:t xml:space="preserve"> на частния инвеститор също се променя.</w:t>
      </w:r>
    </w:p>
    <w:p w:rsidR="00950BDF" w:rsidRPr="00950BDF" w:rsidRDefault="00641D24" w:rsidP="002A32DA">
      <w:pPr>
        <w:pStyle w:val="ListParagraph"/>
        <w:numPr>
          <w:ilvl w:val="1"/>
          <w:numId w:val="27"/>
        </w:numPr>
        <w:spacing w:before="120" w:after="120" w:line="240" w:lineRule="auto"/>
        <w:ind w:left="567" w:hanging="283"/>
        <w:contextualSpacing w:val="0"/>
        <w:jc w:val="both"/>
        <w:rPr>
          <w:rFonts w:ascii="Times New Roman" w:hAnsi="Times New Roman" w:cs="Times New Roman"/>
          <w:sz w:val="24"/>
          <w:szCs w:val="24"/>
        </w:rPr>
      </w:pPr>
      <w:r>
        <w:rPr>
          <w:rFonts w:ascii="Times New Roman" w:hAnsi="Times New Roman" w:cs="Times New Roman"/>
          <w:i/>
          <w:sz w:val="24"/>
          <w:szCs w:val="24"/>
        </w:rPr>
        <w:t>п</w:t>
      </w:r>
      <w:r w:rsidR="00950BDF" w:rsidRPr="00950BDF">
        <w:rPr>
          <w:rFonts w:ascii="Times New Roman" w:hAnsi="Times New Roman" w:cs="Times New Roman"/>
          <w:i/>
          <w:sz w:val="24"/>
          <w:szCs w:val="24"/>
        </w:rPr>
        <w:t xml:space="preserve">рез годините, обхващащи фазата на експлоатация на новоизградената инфраструктура </w:t>
      </w:r>
      <w:r w:rsidR="00950BDF" w:rsidRPr="00950BDF">
        <w:rPr>
          <w:rFonts w:ascii="Times New Roman" w:hAnsi="Times New Roman" w:cs="Times New Roman"/>
          <w:sz w:val="24"/>
          <w:szCs w:val="24"/>
        </w:rPr>
        <w:t>– паричният поток се формира от дивидента, който частният инвес</w:t>
      </w:r>
      <w:r>
        <w:rPr>
          <w:rFonts w:ascii="Times New Roman" w:hAnsi="Times New Roman" w:cs="Times New Roman"/>
          <w:sz w:val="24"/>
          <w:szCs w:val="24"/>
        </w:rPr>
        <w:t>титор и държавата</w:t>
      </w:r>
      <w:r w:rsidR="00950BDF" w:rsidRPr="00950BDF">
        <w:rPr>
          <w:rFonts w:ascii="Times New Roman" w:hAnsi="Times New Roman" w:cs="Times New Roman"/>
          <w:sz w:val="24"/>
          <w:szCs w:val="24"/>
        </w:rPr>
        <w:t xml:space="preserve"> получават в резултат от участието си в проекта. Дивидентъ</w:t>
      </w:r>
      <w:r>
        <w:rPr>
          <w:rFonts w:ascii="Times New Roman" w:hAnsi="Times New Roman" w:cs="Times New Roman"/>
          <w:sz w:val="24"/>
          <w:szCs w:val="24"/>
        </w:rPr>
        <w:t>т се калкулира след получаване</w:t>
      </w:r>
      <w:r w:rsidR="00950BDF" w:rsidRPr="00950BDF">
        <w:rPr>
          <w:rFonts w:ascii="Times New Roman" w:hAnsi="Times New Roman" w:cs="Times New Roman"/>
          <w:sz w:val="24"/>
          <w:szCs w:val="24"/>
        </w:rPr>
        <w:t xml:space="preserve"> на нетна печалба за разпределение</w:t>
      </w:r>
      <w:r>
        <w:rPr>
          <w:rFonts w:ascii="Times New Roman" w:hAnsi="Times New Roman" w:cs="Times New Roman"/>
          <w:sz w:val="24"/>
          <w:szCs w:val="24"/>
        </w:rPr>
        <w:t>,</w:t>
      </w:r>
      <w:r w:rsidR="00950BDF" w:rsidRPr="00950BDF">
        <w:rPr>
          <w:rFonts w:ascii="Times New Roman" w:hAnsi="Times New Roman" w:cs="Times New Roman"/>
          <w:sz w:val="24"/>
          <w:szCs w:val="24"/>
        </w:rPr>
        <w:t xml:space="preserve"> т.е. след погасяване на лихви и главници по кредита и данък печалба</w:t>
      </w:r>
      <w:r>
        <w:rPr>
          <w:rFonts w:ascii="Times New Roman" w:hAnsi="Times New Roman" w:cs="Times New Roman"/>
          <w:sz w:val="24"/>
          <w:szCs w:val="24"/>
        </w:rPr>
        <w:t>,</w:t>
      </w:r>
      <w:r w:rsidR="00950BDF" w:rsidRPr="00950BDF">
        <w:rPr>
          <w:rFonts w:ascii="Times New Roman" w:hAnsi="Times New Roman" w:cs="Times New Roman"/>
          <w:sz w:val="24"/>
          <w:szCs w:val="24"/>
        </w:rPr>
        <w:t xml:space="preserve"> и се разпределя за инвеститора и държавата само при наличие на достатъчни по размер парични потоци.</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Ключов момент при калкулирането на NPV и при оценката на IRR е прилаганата дисконтова норма. Определянето на адекватна дисконтова норма изисква анализ на претеглените средни разходи за капитала (Weighted</w:t>
      </w:r>
      <w:r w:rsidR="002A0227">
        <w:rPr>
          <w:rFonts w:ascii="Times New Roman" w:hAnsi="Times New Roman" w:cs="Times New Roman"/>
          <w:sz w:val="24"/>
          <w:szCs w:val="24"/>
        </w:rPr>
        <w:t xml:space="preserve"> </w:t>
      </w:r>
      <w:r w:rsidRPr="00950BDF">
        <w:rPr>
          <w:rFonts w:ascii="Times New Roman" w:hAnsi="Times New Roman" w:cs="Times New Roman"/>
          <w:sz w:val="24"/>
          <w:szCs w:val="24"/>
        </w:rPr>
        <w:t>Average</w:t>
      </w:r>
      <w:r w:rsidR="002A0227">
        <w:rPr>
          <w:rFonts w:ascii="Times New Roman" w:hAnsi="Times New Roman" w:cs="Times New Roman"/>
          <w:sz w:val="24"/>
          <w:szCs w:val="24"/>
        </w:rPr>
        <w:t xml:space="preserve"> </w:t>
      </w:r>
      <w:r w:rsidRPr="00950BDF">
        <w:rPr>
          <w:rFonts w:ascii="Times New Roman" w:hAnsi="Times New Roman" w:cs="Times New Roman"/>
          <w:sz w:val="24"/>
          <w:szCs w:val="24"/>
        </w:rPr>
        <w:t>Cost</w:t>
      </w:r>
      <w:r w:rsidR="002A0227">
        <w:rPr>
          <w:rFonts w:ascii="Times New Roman" w:hAnsi="Times New Roman" w:cs="Times New Roman"/>
          <w:sz w:val="24"/>
          <w:szCs w:val="24"/>
        </w:rPr>
        <w:t xml:space="preserve"> </w:t>
      </w:r>
      <w:r w:rsidRPr="00950BDF">
        <w:rPr>
          <w:rFonts w:ascii="Times New Roman" w:hAnsi="Times New Roman" w:cs="Times New Roman"/>
          <w:sz w:val="24"/>
          <w:szCs w:val="24"/>
        </w:rPr>
        <w:t>of Capital – WACC). Разходите за капитала зависят от съотношението на източниците на финансирането му (дълг/собствен капитал) и възнаграждението, което те получават като компенсация за предоставяне на това финансиране. Финансиращите институции търсят по-ниска възвръщаемост на своите средства предвид факта, че те изпреварват инвеститорите на „опашката“ за получаване на средства (плащанията по лихвите и главниците се извършват преди калкулирането на печалбата и изплащането на дивидента). Лицата, авансиращи собствен капитал</w:t>
      </w:r>
      <w:r w:rsidR="00E0790B">
        <w:rPr>
          <w:rFonts w:ascii="Times New Roman" w:hAnsi="Times New Roman" w:cs="Times New Roman"/>
          <w:sz w:val="24"/>
          <w:szCs w:val="24"/>
        </w:rPr>
        <w:t>,</w:t>
      </w:r>
      <w:r w:rsidRPr="00950BDF">
        <w:rPr>
          <w:rFonts w:ascii="Times New Roman" w:hAnsi="Times New Roman" w:cs="Times New Roman"/>
          <w:sz w:val="24"/>
          <w:szCs w:val="24"/>
        </w:rPr>
        <w:t xml:space="preserve"> получават възвръщаемост под формата на дивиденти (в случай на достатъчни по размер парични потоци) и под формата на евентуален ръст на цената на техните акции, което зависи от пазарната конюнктура. </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 xml:space="preserve">Претеглените средни разходи за капитала се определят прилагайки подхода, че разходите за капитала на една компания са средно претеглената величина от разходите за собствен </w:t>
      </w:r>
      <w:r w:rsidR="00E0790B">
        <w:rPr>
          <w:rFonts w:ascii="Times New Roman" w:hAnsi="Times New Roman" w:cs="Times New Roman"/>
          <w:sz w:val="24"/>
          <w:szCs w:val="24"/>
        </w:rPr>
        <w:t>капитал и разходите за дългово</w:t>
      </w:r>
      <w:r w:rsidRPr="00950BDF">
        <w:rPr>
          <w:rFonts w:ascii="Times New Roman" w:hAnsi="Times New Roman" w:cs="Times New Roman"/>
          <w:sz w:val="24"/>
          <w:szCs w:val="24"/>
        </w:rPr>
        <w:t xml:space="preserve"> финансиране. Това е илюстрирано чрез следната формула:</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position w:val="-28"/>
          <w:sz w:val="24"/>
          <w:szCs w:val="24"/>
        </w:rPr>
        <w:object w:dxaOrig="4500" w:dyaOrig="660">
          <v:shape id="_x0000_i1026" type="#_x0000_t75" style="width:246.1pt;height:36.55pt" o:ole="">
            <v:imagedata r:id="rId16" o:title=""/>
          </v:shape>
          <o:OLEObject Type="Embed" ProgID="Equation.3" ShapeID="_x0000_i1026" DrawAspect="Content" ObjectID="_1567257672" r:id="rId17"/>
        </w:objec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където:</w:t>
      </w:r>
    </w:p>
    <w:p w:rsidR="00950BDF" w:rsidRPr="00950BDF" w:rsidRDefault="00950BDF" w:rsidP="00E44C19">
      <w:pPr>
        <w:spacing w:before="120" w:after="120" w:line="240" w:lineRule="auto"/>
        <w:jc w:val="both"/>
        <w:rPr>
          <w:rFonts w:ascii="Times New Roman" w:hAnsi="Times New Roman" w:cs="Times New Roman"/>
          <w:sz w:val="24"/>
          <w:szCs w:val="24"/>
        </w:rPr>
      </w:pPr>
      <w:r w:rsidRPr="00641D24">
        <w:rPr>
          <w:rFonts w:ascii="Times New Roman" w:hAnsi="Times New Roman" w:cs="Times New Roman"/>
          <w:i/>
          <w:sz w:val="24"/>
          <w:szCs w:val="24"/>
          <w:lang w:val="en-US"/>
        </w:rPr>
        <w:t>WACC</w:t>
      </w:r>
      <w:r w:rsidR="00E0790B">
        <w:rPr>
          <w:rFonts w:ascii="Times New Roman" w:hAnsi="Times New Roman" w:cs="Times New Roman"/>
          <w:sz w:val="24"/>
          <w:szCs w:val="24"/>
        </w:rPr>
        <w:t>са</w:t>
      </w:r>
      <w:r w:rsidRPr="00950BDF">
        <w:rPr>
          <w:rFonts w:ascii="Times New Roman" w:hAnsi="Times New Roman" w:cs="Times New Roman"/>
          <w:sz w:val="24"/>
          <w:szCs w:val="24"/>
        </w:rPr>
        <w:t xml:space="preserve"> претеглени средни разходи за капитала</w:t>
      </w:r>
    </w:p>
    <w:p w:rsidR="00950BDF" w:rsidRPr="00950BDF" w:rsidRDefault="00950BDF" w:rsidP="00E44C19">
      <w:pPr>
        <w:spacing w:before="120" w:after="120" w:line="240" w:lineRule="auto"/>
        <w:jc w:val="both"/>
        <w:rPr>
          <w:rFonts w:ascii="Times New Roman" w:hAnsi="Times New Roman" w:cs="Times New Roman"/>
          <w:sz w:val="24"/>
          <w:szCs w:val="24"/>
        </w:rPr>
      </w:pPr>
      <w:r w:rsidRPr="00641D24">
        <w:rPr>
          <w:rFonts w:ascii="Times New Roman" w:hAnsi="Times New Roman" w:cs="Times New Roman"/>
          <w:i/>
          <w:sz w:val="24"/>
          <w:szCs w:val="24"/>
          <w:lang w:val="en-US"/>
        </w:rPr>
        <w:lastRenderedPageBreak/>
        <w:t>D</w:t>
      </w:r>
      <w:r w:rsidRPr="00950BDF">
        <w:rPr>
          <w:rFonts w:ascii="Times New Roman" w:hAnsi="Times New Roman" w:cs="Times New Roman"/>
          <w:sz w:val="24"/>
          <w:szCs w:val="24"/>
        </w:rPr>
        <w:t>– размер на дълговото финансиране</w:t>
      </w:r>
    </w:p>
    <w:p w:rsidR="00950BDF" w:rsidRPr="00950BDF" w:rsidRDefault="00950BDF" w:rsidP="00E44C19">
      <w:pPr>
        <w:spacing w:before="120" w:after="120" w:line="240" w:lineRule="auto"/>
        <w:jc w:val="both"/>
        <w:rPr>
          <w:rFonts w:ascii="Times New Roman" w:hAnsi="Times New Roman" w:cs="Times New Roman"/>
          <w:sz w:val="24"/>
          <w:szCs w:val="24"/>
        </w:rPr>
      </w:pPr>
      <w:r w:rsidRPr="00641D24">
        <w:rPr>
          <w:rFonts w:ascii="Times New Roman" w:hAnsi="Times New Roman" w:cs="Times New Roman"/>
          <w:i/>
          <w:sz w:val="24"/>
          <w:szCs w:val="24"/>
          <w:lang w:val="en-US"/>
        </w:rPr>
        <w:t>E</w:t>
      </w:r>
      <w:r w:rsidRPr="00950BDF">
        <w:rPr>
          <w:rFonts w:ascii="Times New Roman" w:hAnsi="Times New Roman" w:cs="Times New Roman"/>
          <w:sz w:val="24"/>
          <w:szCs w:val="24"/>
        </w:rPr>
        <w:t>– размер на финансирането от собствен капитал</w:t>
      </w:r>
    </w:p>
    <w:p w:rsidR="00950BDF" w:rsidRPr="00950BDF" w:rsidRDefault="00950BDF" w:rsidP="00E44C19">
      <w:pPr>
        <w:spacing w:before="120" w:after="120" w:line="240" w:lineRule="auto"/>
        <w:jc w:val="both"/>
        <w:rPr>
          <w:rFonts w:ascii="Times New Roman" w:hAnsi="Times New Roman" w:cs="Times New Roman"/>
          <w:i/>
          <w:sz w:val="24"/>
          <w:szCs w:val="24"/>
        </w:rPr>
      </w:pPr>
      <w:r w:rsidRPr="00641D24">
        <w:rPr>
          <w:rFonts w:ascii="Times New Roman" w:hAnsi="Times New Roman" w:cs="Times New Roman"/>
          <w:i/>
          <w:sz w:val="24"/>
          <w:szCs w:val="24"/>
          <w:lang w:val="en-US"/>
        </w:rPr>
        <w:t>Re</w:t>
      </w:r>
      <w:r w:rsidRPr="00950BDF">
        <w:rPr>
          <w:rFonts w:ascii="Times New Roman" w:hAnsi="Times New Roman" w:cs="Times New Roman"/>
          <w:sz w:val="24"/>
          <w:szCs w:val="24"/>
        </w:rPr>
        <w:t xml:space="preserve"> – търсената доходност от лицата, авансирали собствен капитал</w:t>
      </w:r>
    </w:p>
    <w:p w:rsidR="00950BDF" w:rsidRPr="00950BDF" w:rsidRDefault="00950BDF" w:rsidP="00E44C19">
      <w:pPr>
        <w:spacing w:before="120" w:after="120" w:line="240" w:lineRule="auto"/>
        <w:jc w:val="both"/>
        <w:rPr>
          <w:rFonts w:ascii="Times New Roman" w:hAnsi="Times New Roman" w:cs="Times New Roman"/>
          <w:sz w:val="24"/>
          <w:szCs w:val="24"/>
          <w:lang w:val="en-US"/>
        </w:rPr>
      </w:pPr>
      <w:r w:rsidRPr="00641D24">
        <w:rPr>
          <w:rFonts w:ascii="Times New Roman" w:hAnsi="Times New Roman" w:cs="Times New Roman"/>
          <w:i/>
          <w:sz w:val="24"/>
          <w:szCs w:val="24"/>
          <w:lang w:val="en-US"/>
        </w:rPr>
        <w:t>Rd</w:t>
      </w:r>
      <w:r w:rsidRPr="00950BDF">
        <w:rPr>
          <w:rFonts w:ascii="Times New Roman" w:hAnsi="Times New Roman" w:cs="Times New Roman"/>
          <w:sz w:val="24"/>
          <w:szCs w:val="24"/>
        </w:rPr>
        <w:t xml:space="preserve"> – цената на дълга</w:t>
      </w:r>
    </w:p>
    <w:p w:rsidR="00950BDF" w:rsidRPr="00950BDF" w:rsidRDefault="00950BDF" w:rsidP="00E44C19">
      <w:pPr>
        <w:spacing w:before="120" w:after="120" w:line="240" w:lineRule="auto"/>
        <w:jc w:val="both"/>
        <w:rPr>
          <w:rFonts w:ascii="Times New Roman" w:hAnsi="Times New Roman" w:cs="Times New Roman"/>
          <w:i/>
          <w:sz w:val="24"/>
          <w:szCs w:val="24"/>
        </w:rPr>
      </w:pPr>
      <w:r w:rsidRPr="00641D24">
        <w:rPr>
          <w:rFonts w:ascii="Times New Roman" w:hAnsi="Times New Roman" w:cs="Times New Roman"/>
          <w:i/>
          <w:sz w:val="24"/>
          <w:szCs w:val="24"/>
          <w:lang w:val="en-US"/>
        </w:rPr>
        <w:t>Tc</w:t>
      </w:r>
      <w:r w:rsidRPr="00950BDF">
        <w:rPr>
          <w:rFonts w:ascii="Times New Roman" w:hAnsi="Times New Roman" w:cs="Times New Roman"/>
          <w:sz w:val="24"/>
          <w:szCs w:val="24"/>
          <w:lang w:val="en-US"/>
        </w:rPr>
        <w:t xml:space="preserve"> – </w:t>
      </w:r>
      <w:r w:rsidRPr="00950BDF">
        <w:rPr>
          <w:rFonts w:ascii="Times New Roman" w:hAnsi="Times New Roman" w:cs="Times New Roman"/>
          <w:sz w:val="24"/>
          <w:szCs w:val="24"/>
        </w:rPr>
        <w:t>ставката на корпоративния данък.</w:t>
      </w:r>
    </w:p>
    <w:p w:rsidR="00950BDF" w:rsidRPr="00950BDF" w:rsidRDefault="00950BDF" w:rsidP="002C6255">
      <w:pPr>
        <w:spacing w:before="120" w:after="0" w:line="240" w:lineRule="auto"/>
        <w:jc w:val="both"/>
        <w:rPr>
          <w:rFonts w:ascii="Times New Roman" w:hAnsi="Times New Roman" w:cs="Times New Roman"/>
          <w:sz w:val="24"/>
          <w:szCs w:val="24"/>
        </w:rPr>
      </w:pPr>
      <w:r w:rsidRPr="00950BDF">
        <w:rPr>
          <w:rFonts w:ascii="Times New Roman" w:hAnsi="Times New Roman" w:cs="Times New Roman"/>
          <w:sz w:val="24"/>
          <w:szCs w:val="24"/>
        </w:rPr>
        <w:t>Цената да дълга (</w:t>
      </w:r>
      <w:r w:rsidRPr="00950BDF">
        <w:rPr>
          <w:rFonts w:ascii="Times New Roman" w:hAnsi="Times New Roman" w:cs="Times New Roman"/>
          <w:sz w:val="24"/>
          <w:szCs w:val="24"/>
          <w:lang w:val="en-US"/>
        </w:rPr>
        <w:t>Rd</w:t>
      </w:r>
      <w:r w:rsidRPr="00950BDF">
        <w:rPr>
          <w:rFonts w:ascii="Times New Roman" w:hAnsi="Times New Roman" w:cs="Times New Roman"/>
          <w:sz w:val="24"/>
          <w:szCs w:val="24"/>
        </w:rPr>
        <w:t xml:space="preserve">) се определя чрез изчисляване на </w:t>
      </w:r>
      <w:r w:rsidRPr="00950BDF">
        <w:rPr>
          <w:rFonts w:ascii="Times New Roman" w:hAnsi="Times New Roman" w:cs="Times New Roman"/>
          <w:sz w:val="24"/>
          <w:szCs w:val="24"/>
          <w:lang w:val="en-US"/>
        </w:rPr>
        <w:t>IRR</w:t>
      </w:r>
      <w:r w:rsidRPr="00950BDF">
        <w:rPr>
          <w:rFonts w:ascii="Times New Roman" w:hAnsi="Times New Roman" w:cs="Times New Roman"/>
          <w:sz w:val="24"/>
          <w:szCs w:val="24"/>
        </w:rPr>
        <w:t xml:space="preserve"> на финансовия поток на дълга. Този поток включва всички параметри на дълга: първоначална такса, усвоени средства за всяка година, лихви по време на строителството, такса ангажимент върху неусвоената сума, погасителните плащания по главницата и лихвите. Тези суми се разпределят в зависимост от годината, в която възникват и въз основа на тях се изчислява </w:t>
      </w:r>
      <w:r w:rsidRPr="00950BDF">
        <w:rPr>
          <w:rFonts w:ascii="Times New Roman" w:hAnsi="Times New Roman" w:cs="Times New Roman"/>
          <w:sz w:val="24"/>
          <w:szCs w:val="24"/>
          <w:lang w:val="en-US"/>
        </w:rPr>
        <w:t>IRR</w:t>
      </w:r>
      <w:r w:rsidRPr="00950BDF">
        <w:rPr>
          <w:rFonts w:ascii="Times New Roman" w:hAnsi="Times New Roman" w:cs="Times New Roman"/>
          <w:sz w:val="24"/>
          <w:szCs w:val="24"/>
        </w:rPr>
        <w:t xml:space="preserve"> на финансовия поток на дълга. Тъй като за настоящия проект се разглеждат 6 варианта с различно съотношение дълг/собственост, за всеки от тях се изчислява отделно </w:t>
      </w:r>
      <w:r w:rsidRPr="00950BDF">
        <w:rPr>
          <w:rFonts w:ascii="Times New Roman" w:hAnsi="Times New Roman" w:cs="Times New Roman"/>
          <w:sz w:val="24"/>
          <w:szCs w:val="24"/>
          <w:lang w:val="en-US"/>
        </w:rPr>
        <w:t>Rd</w:t>
      </w:r>
      <w:r w:rsidR="00E0790B">
        <w:rPr>
          <w:rFonts w:ascii="Times New Roman" w:hAnsi="Times New Roman" w:cs="Times New Roman"/>
          <w:sz w:val="24"/>
          <w:szCs w:val="24"/>
        </w:rPr>
        <w:t xml:space="preserve"> (вж. </w:t>
      </w:r>
      <w:r w:rsidR="002C6255">
        <w:rPr>
          <w:rFonts w:ascii="Times New Roman" w:hAnsi="Times New Roman" w:cs="Times New Roman"/>
          <w:sz w:val="24"/>
          <w:szCs w:val="24"/>
        </w:rPr>
        <w:t xml:space="preserve">табл. </w:t>
      </w:r>
      <w:r w:rsidR="002C6255" w:rsidRPr="00E44C19">
        <w:rPr>
          <w:rFonts w:ascii="Times New Roman" w:hAnsi="Times New Roman" w:cs="Times New Roman"/>
          <w:sz w:val="24"/>
          <w:szCs w:val="24"/>
          <w:lang w:val="en-US"/>
        </w:rPr>
        <w:t>V.</w:t>
      </w:r>
      <w:r w:rsidR="00965B20">
        <w:rPr>
          <w:rFonts w:ascii="Times New Roman" w:hAnsi="Times New Roman" w:cs="Times New Roman"/>
          <w:sz w:val="24"/>
          <w:szCs w:val="24"/>
        </w:rPr>
        <w:t>9</w:t>
      </w:r>
      <w:r w:rsidR="00E0790B">
        <w:rPr>
          <w:rFonts w:ascii="Times New Roman" w:hAnsi="Times New Roman" w:cs="Times New Roman"/>
          <w:sz w:val="24"/>
          <w:szCs w:val="24"/>
        </w:rPr>
        <w:t>)</w:t>
      </w:r>
      <w:r w:rsidRPr="00950BDF">
        <w:rPr>
          <w:rFonts w:ascii="Times New Roman" w:hAnsi="Times New Roman" w:cs="Times New Roman"/>
          <w:sz w:val="24"/>
          <w:szCs w:val="24"/>
        </w:rPr>
        <w:t>.</w:t>
      </w:r>
    </w:p>
    <w:p w:rsidR="00950BDF" w:rsidRPr="00965B20" w:rsidRDefault="00965B20" w:rsidP="00E44C19">
      <w:pPr>
        <w:pStyle w:val="Caption"/>
        <w:rPr>
          <w:rFonts w:ascii="Times New Roman" w:hAnsi="Times New Roman"/>
          <w:szCs w:val="24"/>
        </w:rPr>
      </w:pPr>
      <w:bookmarkStart w:id="120" w:name="_Toc491990979"/>
      <w:bookmarkStart w:id="121" w:name="_Toc491994414"/>
      <w:bookmarkStart w:id="122" w:name="_Toc493240905"/>
      <w:r w:rsidRPr="00965B20">
        <w:rPr>
          <w:rFonts w:hint="eastAsia"/>
        </w:rPr>
        <w:t>Таблица</w:t>
      </w:r>
      <w:r w:rsidRPr="00965B20">
        <w:t xml:space="preserve"> V.</w:t>
      </w:r>
      <w:r w:rsidR="0097530B">
        <w:fldChar w:fldCharType="begin"/>
      </w:r>
      <w:r w:rsidR="00042F89">
        <w:instrText xml:space="preserve"> SEQ Таблица_V. \* ARABIC </w:instrText>
      </w:r>
      <w:r w:rsidR="0097530B">
        <w:fldChar w:fldCharType="separate"/>
      </w:r>
      <w:r w:rsidR="00F44EBF">
        <w:rPr>
          <w:noProof/>
        </w:rPr>
        <w:t>9</w:t>
      </w:r>
      <w:r w:rsidR="0097530B">
        <w:rPr>
          <w:noProof/>
        </w:rPr>
        <w:fldChar w:fldCharType="end"/>
      </w:r>
      <w:r w:rsidRPr="00965B20">
        <w:rPr>
          <w:rFonts w:asciiTheme="minorHAnsi" w:hAnsiTheme="minorHAnsi"/>
        </w:rPr>
        <w:t xml:space="preserve">. </w:t>
      </w:r>
      <w:r w:rsidR="00950BDF" w:rsidRPr="00965B20">
        <w:rPr>
          <w:rFonts w:ascii="Times New Roman" w:hAnsi="Times New Roman"/>
          <w:szCs w:val="24"/>
        </w:rPr>
        <w:t>Цена на дълга при разглежданите варианти</w:t>
      </w:r>
      <w:bookmarkEnd w:id="120"/>
      <w:bookmarkEnd w:id="121"/>
      <w:bookmarkEnd w:id="12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02"/>
        <w:gridCol w:w="2426"/>
      </w:tblGrid>
      <w:tr w:rsidR="00950BDF" w:rsidRPr="00641D24" w:rsidTr="00641D24">
        <w:trPr>
          <w:jc w:val="center"/>
        </w:trPr>
        <w:tc>
          <w:tcPr>
            <w:tcW w:w="2802" w:type="dxa"/>
            <w:tcBorders>
              <w:top w:val="single" w:sz="12" w:space="0" w:color="auto"/>
              <w:bottom w:val="single" w:sz="12" w:space="0" w:color="auto"/>
              <w:right w:val="single" w:sz="12" w:space="0" w:color="auto"/>
            </w:tcBorders>
            <w:shd w:val="clear" w:color="auto" w:fill="auto"/>
          </w:tcPr>
          <w:p w:rsidR="00950BDF" w:rsidRPr="00641D24" w:rsidRDefault="00950BDF" w:rsidP="00641D24">
            <w:pPr>
              <w:spacing w:after="0" w:line="240" w:lineRule="auto"/>
              <w:jc w:val="center"/>
              <w:rPr>
                <w:rFonts w:ascii="Times New Roman" w:hAnsi="Times New Roman" w:cs="Times New Roman"/>
                <w:b/>
                <w:sz w:val="20"/>
                <w:szCs w:val="24"/>
              </w:rPr>
            </w:pPr>
            <w:r w:rsidRPr="00641D24">
              <w:rPr>
                <w:rFonts w:ascii="Times New Roman" w:hAnsi="Times New Roman" w:cs="Times New Roman"/>
                <w:b/>
                <w:sz w:val="20"/>
                <w:szCs w:val="24"/>
              </w:rPr>
              <w:t>Вариант</w:t>
            </w:r>
          </w:p>
        </w:tc>
        <w:tc>
          <w:tcPr>
            <w:tcW w:w="2426" w:type="dxa"/>
            <w:tcBorders>
              <w:left w:val="single" w:sz="12" w:space="0" w:color="auto"/>
              <w:bottom w:val="single" w:sz="12" w:space="0" w:color="auto"/>
            </w:tcBorders>
            <w:shd w:val="clear" w:color="auto" w:fill="auto"/>
          </w:tcPr>
          <w:p w:rsidR="00950BDF" w:rsidRPr="00641D24" w:rsidRDefault="00950BDF" w:rsidP="002C6255">
            <w:pPr>
              <w:spacing w:after="0" w:line="240" w:lineRule="auto"/>
              <w:jc w:val="center"/>
              <w:rPr>
                <w:rFonts w:ascii="Times New Roman" w:hAnsi="Times New Roman" w:cs="Times New Roman"/>
                <w:b/>
                <w:sz w:val="20"/>
                <w:szCs w:val="24"/>
              </w:rPr>
            </w:pPr>
            <w:r w:rsidRPr="00641D24">
              <w:rPr>
                <w:rFonts w:ascii="Times New Roman" w:hAnsi="Times New Roman" w:cs="Times New Roman"/>
                <w:b/>
                <w:sz w:val="20"/>
                <w:szCs w:val="24"/>
              </w:rPr>
              <w:t>Цена на дълга (</w:t>
            </w:r>
            <w:r w:rsidRPr="00641D24">
              <w:rPr>
                <w:rFonts w:ascii="Times New Roman" w:hAnsi="Times New Roman" w:cs="Times New Roman"/>
                <w:b/>
                <w:sz w:val="20"/>
                <w:szCs w:val="24"/>
                <w:lang w:val="en-US"/>
              </w:rPr>
              <w:t>Rd</w:t>
            </w:r>
            <w:r w:rsidRPr="00641D24">
              <w:rPr>
                <w:rFonts w:ascii="Times New Roman" w:hAnsi="Times New Roman" w:cs="Times New Roman"/>
                <w:b/>
                <w:sz w:val="20"/>
                <w:szCs w:val="24"/>
              </w:rPr>
              <w:t>)</w:t>
            </w:r>
            <w:r w:rsidR="00641D24">
              <w:rPr>
                <w:rFonts w:ascii="Times New Roman" w:hAnsi="Times New Roman" w:cs="Times New Roman"/>
                <w:b/>
                <w:sz w:val="20"/>
                <w:szCs w:val="24"/>
              </w:rPr>
              <w:t xml:space="preserve"> (%)</w:t>
            </w:r>
          </w:p>
        </w:tc>
      </w:tr>
      <w:tr w:rsidR="00950BDF" w:rsidRPr="00641D24" w:rsidTr="00641D24">
        <w:trPr>
          <w:jc w:val="center"/>
        </w:trPr>
        <w:tc>
          <w:tcPr>
            <w:tcW w:w="2802" w:type="dxa"/>
            <w:tcBorders>
              <w:top w:val="single" w:sz="12" w:space="0" w:color="auto"/>
              <w:bottom w:val="single" w:sz="4" w:space="0" w:color="auto"/>
              <w:right w:val="single" w:sz="12" w:space="0" w:color="auto"/>
            </w:tcBorders>
            <w:shd w:val="clear" w:color="auto" w:fill="auto"/>
          </w:tcPr>
          <w:p w:rsidR="00950BDF" w:rsidRPr="00641D24" w:rsidRDefault="00950BDF" w:rsidP="00641D24">
            <w:pPr>
              <w:spacing w:after="0" w:line="240" w:lineRule="auto"/>
              <w:jc w:val="center"/>
              <w:rPr>
                <w:rFonts w:ascii="Times New Roman" w:hAnsi="Times New Roman" w:cs="Times New Roman"/>
                <w:sz w:val="20"/>
                <w:szCs w:val="24"/>
              </w:rPr>
            </w:pPr>
            <w:r w:rsidRPr="00641D24">
              <w:rPr>
                <w:rFonts w:ascii="Times New Roman" w:hAnsi="Times New Roman" w:cs="Times New Roman"/>
                <w:sz w:val="20"/>
                <w:szCs w:val="24"/>
              </w:rPr>
              <w:t>Вариант 1 и 4</w:t>
            </w:r>
          </w:p>
        </w:tc>
        <w:tc>
          <w:tcPr>
            <w:tcW w:w="2426" w:type="dxa"/>
            <w:tcBorders>
              <w:top w:val="single" w:sz="12" w:space="0" w:color="auto"/>
              <w:left w:val="single" w:sz="12" w:space="0" w:color="auto"/>
              <w:bottom w:val="single" w:sz="4" w:space="0" w:color="auto"/>
            </w:tcBorders>
            <w:shd w:val="clear" w:color="auto" w:fill="auto"/>
          </w:tcPr>
          <w:p w:rsidR="00950BDF" w:rsidRPr="00641D24" w:rsidRDefault="00641D24" w:rsidP="00E6666C">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6</w:t>
            </w:r>
            <w:r w:rsidR="00E6666C">
              <w:rPr>
                <w:rFonts w:ascii="Times New Roman" w:hAnsi="Times New Roman" w:cs="Times New Roman"/>
                <w:sz w:val="20"/>
                <w:szCs w:val="24"/>
                <w:lang w:val="en-US"/>
              </w:rPr>
              <w:t>,</w:t>
            </w:r>
            <w:r>
              <w:rPr>
                <w:rFonts w:ascii="Times New Roman" w:hAnsi="Times New Roman" w:cs="Times New Roman"/>
                <w:sz w:val="20"/>
                <w:szCs w:val="24"/>
              </w:rPr>
              <w:t>23</w:t>
            </w:r>
          </w:p>
        </w:tc>
      </w:tr>
      <w:tr w:rsidR="00950BDF" w:rsidRPr="00641D24" w:rsidTr="00641D24">
        <w:trPr>
          <w:jc w:val="center"/>
        </w:trPr>
        <w:tc>
          <w:tcPr>
            <w:tcW w:w="2802" w:type="dxa"/>
            <w:tcBorders>
              <w:top w:val="single" w:sz="4" w:space="0" w:color="auto"/>
              <w:right w:val="single" w:sz="12" w:space="0" w:color="auto"/>
            </w:tcBorders>
            <w:shd w:val="clear" w:color="auto" w:fill="auto"/>
          </w:tcPr>
          <w:p w:rsidR="00950BDF" w:rsidRPr="00641D24" w:rsidRDefault="00950BDF" w:rsidP="00641D24">
            <w:pPr>
              <w:spacing w:after="0" w:line="240" w:lineRule="auto"/>
              <w:jc w:val="center"/>
              <w:rPr>
                <w:rFonts w:ascii="Times New Roman" w:hAnsi="Times New Roman" w:cs="Times New Roman"/>
                <w:sz w:val="20"/>
                <w:szCs w:val="24"/>
              </w:rPr>
            </w:pPr>
            <w:r w:rsidRPr="00641D24">
              <w:rPr>
                <w:rFonts w:ascii="Times New Roman" w:hAnsi="Times New Roman" w:cs="Times New Roman"/>
                <w:sz w:val="20"/>
                <w:szCs w:val="24"/>
              </w:rPr>
              <w:t>Вариант 2 и 5</w:t>
            </w:r>
          </w:p>
        </w:tc>
        <w:tc>
          <w:tcPr>
            <w:tcW w:w="2426" w:type="dxa"/>
            <w:tcBorders>
              <w:top w:val="single" w:sz="4" w:space="0" w:color="auto"/>
              <w:left w:val="single" w:sz="12" w:space="0" w:color="auto"/>
            </w:tcBorders>
            <w:shd w:val="clear" w:color="auto" w:fill="auto"/>
          </w:tcPr>
          <w:p w:rsidR="00950BDF" w:rsidRPr="00641D24" w:rsidRDefault="00E6666C" w:rsidP="002C6255">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6</w:t>
            </w:r>
            <w:r>
              <w:rPr>
                <w:rFonts w:ascii="Times New Roman" w:hAnsi="Times New Roman" w:cs="Times New Roman"/>
                <w:sz w:val="20"/>
                <w:szCs w:val="24"/>
                <w:lang w:val="en-US"/>
              </w:rPr>
              <w:t>,</w:t>
            </w:r>
            <w:r w:rsidR="00641D24">
              <w:rPr>
                <w:rFonts w:ascii="Times New Roman" w:hAnsi="Times New Roman" w:cs="Times New Roman"/>
                <w:sz w:val="20"/>
                <w:szCs w:val="24"/>
              </w:rPr>
              <w:t>26</w:t>
            </w:r>
          </w:p>
        </w:tc>
      </w:tr>
      <w:tr w:rsidR="00950BDF" w:rsidRPr="00641D24" w:rsidTr="00641D24">
        <w:trPr>
          <w:jc w:val="center"/>
        </w:trPr>
        <w:tc>
          <w:tcPr>
            <w:tcW w:w="2802" w:type="dxa"/>
            <w:tcBorders>
              <w:bottom w:val="single" w:sz="12" w:space="0" w:color="auto"/>
              <w:right w:val="single" w:sz="12" w:space="0" w:color="auto"/>
            </w:tcBorders>
            <w:shd w:val="clear" w:color="auto" w:fill="auto"/>
          </w:tcPr>
          <w:p w:rsidR="00950BDF" w:rsidRPr="00641D24" w:rsidRDefault="00950BDF" w:rsidP="00641D24">
            <w:pPr>
              <w:spacing w:after="0" w:line="240" w:lineRule="auto"/>
              <w:jc w:val="center"/>
              <w:rPr>
                <w:rFonts w:ascii="Times New Roman" w:hAnsi="Times New Roman" w:cs="Times New Roman"/>
                <w:sz w:val="20"/>
                <w:szCs w:val="24"/>
              </w:rPr>
            </w:pPr>
            <w:r w:rsidRPr="00641D24">
              <w:rPr>
                <w:rFonts w:ascii="Times New Roman" w:hAnsi="Times New Roman" w:cs="Times New Roman"/>
                <w:sz w:val="20"/>
                <w:szCs w:val="24"/>
              </w:rPr>
              <w:t>Вариант 3 и 6</w:t>
            </w:r>
          </w:p>
        </w:tc>
        <w:tc>
          <w:tcPr>
            <w:tcW w:w="2426" w:type="dxa"/>
            <w:tcBorders>
              <w:left w:val="single" w:sz="12" w:space="0" w:color="auto"/>
            </w:tcBorders>
            <w:shd w:val="clear" w:color="auto" w:fill="auto"/>
          </w:tcPr>
          <w:p w:rsidR="00950BDF" w:rsidRPr="00641D24" w:rsidRDefault="00E6666C" w:rsidP="002C6255">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6</w:t>
            </w:r>
            <w:r>
              <w:rPr>
                <w:rFonts w:ascii="Times New Roman" w:hAnsi="Times New Roman" w:cs="Times New Roman"/>
                <w:sz w:val="20"/>
                <w:szCs w:val="24"/>
                <w:lang w:val="en-US"/>
              </w:rPr>
              <w:t>,</w:t>
            </w:r>
            <w:r w:rsidR="00641D24">
              <w:rPr>
                <w:rFonts w:ascii="Times New Roman" w:hAnsi="Times New Roman" w:cs="Times New Roman"/>
                <w:sz w:val="20"/>
                <w:szCs w:val="24"/>
              </w:rPr>
              <w:t>28</w:t>
            </w:r>
          </w:p>
        </w:tc>
      </w:tr>
    </w:tbl>
    <w:p w:rsidR="00950BDF" w:rsidRDefault="00950BDF" w:rsidP="00E44C19">
      <w:pPr>
        <w:spacing w:before="120" w:after="120" w:line="240" w:lineRule="auto"/>
        <w:jc w:val="center"/>
        <w:rPr>
          <w:rFonts w:ascii="Times New Roman" w:hAnsi="Times New Roman" w:cs="Times New Roman"/>
          <w:sz w:val="20"/>
          <w:szCs w:val="24"/>
        </w:rPr>
      </w:pPr>
      <w:r w:rsidRPr="00CA6AE8">
        <w:rPr>
          <w:rFonts w:ascii="Times New Roman" w:hAnsi="Times New Roman" w:cs="Times New Roman"/>
          <w:sz w:val="20"/>
          <w:szCs w:val="24"/>
        </w:rPr>
        <w:t>Източник: Собствени изчисления.</w:t>
      </w:r>
    </w:p>
    <w:p w:rsidR="00233DB8" w:rsidRPr="00CA6AE8" w:rsidRDefault="00233DB8" w:rsidP="00E44C19">
      <w:pPr>
        <w:spacing w:before="120" w:after="120" w:line="240" w:lineRule="auto"/>
        <w:jc w:val="center"/>
        <w:rPr>
          <w:rFonts w:ascii="Times New Roman" w:hAnsi="Times New Roman" w:cs="Times New Roman"/>
          <w:sz w:val="20"/>
          <w:szCs w:val="24"/>
        </w:rPr>
      </w:pP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 xml:space="preserve">Търсената доходност от лицата, авансирали собствен капитал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oMath>
      <w:r w:rsidRPr="00950BDF">
        <w:rPr>
          <w:rFonts w:ascii="Times New Roman" w:hAnsi="Times New Roman" w:cs="Times New Roman"/>
          <w:sz w:val="24"/>
          <w:szCs w:val="24"/>
        </w:rPr>
        <w:t xml:space="preserve">, се определя чрез прилагането на </w:t>
      </w:r>
      <w:r w:rsidRPr="00950BDF">
        <w:rPr>
          <w:rFonts w:ascii="Times New Roman" w:hAnsi="Times New Roman" w:cs="Times New Roman"/>
          <w:b/>
          <w:i/>
          <w:sz w:val="24"/>
          <w:szCs w:val="24"/>
        </w:rPr>
        <w:t>Модела за оценяване на капиталовите активи</w:t>
      </w:r>
      <w:r w:rsidR="002A0227">
        <w:rPr>
          <w:rFonts w:ascii="Times New Roman" w:hAnsi="Times New Roman" w:cs="Times New Roman"/>
          <w:b/>
          <w:i/>
          <w:sz w:val="24"/>
          <w:szCs w:val="24"/>
        </w:rPr>
        <w:t xml:space="preserve"> </w:t>
      </w:r>
      <w:r w:rsidRPr="00950BDF">
        <w:rPr>
          <w:rFonts w:ascii="Times New Roman" w:hAnsi="Times New Roman" w:cs="Times New Roman"/>
          <w:i/>
          <w:sz w:val="24"/>
          <w:szCs w:val="24"/>
        </w:rPr>
        <w:t>(Capital Asset</w:t>
      </w:r>
      <w:r w:rsidR="002A0227">
        <w:rPr>
          <w:rFonts w:ascii="Times New Roman" w:hAnsi="Times New Roman" w:cs="Times New Roman"/>
          <w:i/>
          <w:sz w:val="24"/>
          <w:szCs w:val="24"/>
        </w:rPr>
        <w:t xml:space="preserve"> </w:t>
      </w:r>
      <w:r w:rsidRPr="00950BDF">
        <w:rPr>
          <w:rFonts w:ascii="Times New Roman" w:hAnsi="Times New Roman" w:cs="Times New Roman"/>
          <w:i/>
          <w:sz w:val="24"/>
          <w:szCs w:val="24"/>
        </w:rPr>
        <w:t>Pricing</w:t>
      </w:r>
      <w:r w:rsidR="002A0227">
        <w:rPr>
          <w:rFonts w:ascii="Times New Roman" w:hAnsi="Times New Roman" w:cs="Times New Roman"/>
          <w:i/>
          <w:sz w:val="24"/>
          <w:szCs w:val="24"/>
        </w:rPr>
        <w:t xml:space="preserve"> </w:t>
      </w:r>
      <w:r w:rsidRPr="00950BDF">
        <w:rPr>
          <w:rFonts w:ascii="Times New Roman" w:hAnsi="Times New Roman" w:cs="Times New Roman"/>
          <w:i/>
          <w:sz w:val="24"/>
          <w:szCs w:val="24"/>
        </w:rPr>
        <w:t>Model – CAPM)</w:t>
      </w:r>
      <w:r w:rsidRPr="00950BDF">
        <w:rPr>
          <w:rFonts w:ascii="Times New Roman" w:hAnsi="Times New Roman" w:cs="Times New Roman"/>
          <w:sz w:val="24"/>
          <w:szCs w:val="24"/>
        </w:rPr>
        <w:t>. CAPM е стандартна теоретична рамка за оценка на търсената доходност от собствен капитал. Моделът приема, че търсената доходност от собствения капитал може да се определи като сума от: (1) нивото на възвръщаемост от безрискови инструменти; (2) рискова надбавка за държавата (т.нар. асиметричен риск</w:t>
      </w:r>
      <w:r w:rsidR="00E0790B">
        <w:rPr>
          <w:rFonts w:ascii="Times New Roman" w:hAnsi="Times New Roman" w:cs="Times New Roman"/>
          <w:sz w:val="24"/>
          <w:szCs w:val="24"/>
        </w:rPr>
        <w:t>,</w:t>
      </w:r>
      <w:r w:rsidRPr="00950BDF">
        <w:rPr>
          <w:rFonts w:ascii="Times New Roman" w:hAnsi="Times New Roman" w:cs="Times New Roman"/>
          <w:sz w:val="24"/>
          <w:szCs w:val="24"/>
        </w:rPr>
        <w:t xml:space="preserve"> свързан с държавата); (3) надбавка за бизнес риск; (4) надбавка за асиметричен проектен риск.</w:t>
      </w:r>
    </w:p>
    <w:p w:rsidR="00233DB8" w:rsidRDefault="00950BDF" w:rsidP="00233DB8">
      <w:pPr>
        <w:spacing w:before="120" w:after="120" w:line="240" w:lineRule="auto"/>
        <w:jc w:val="both"/>
        <w:rPr>
          <w:rFonts w:ascii="Times New Roman" w:hAnsi="Times New Roman" w:cs="Times New Roman"/>
          <w:sz w:val="24"/>
          <w:szCs w:val="24"/>
        </w:rPr>
      </w:pPr>
      <w:r w:rsidRPr="00E0790B">
        <w:rPr>
          <w:rFonts w:ascii="Times New Roman" w:hAnsi="Times New Roman" w:cs="Times New Roman"/>
          <w:i/>
          <w:sz w:val="24"/>
          <w:szCs w:val="24"/>
        </w:rPr>
        <w:t>Ниво на възвръщаемост от безрискови инструменти</w:t>
      </w:r>
      <w:r w:rsidRPr="00E0790B">
        <w:rPr>
          <w:rFonts w:ascii="Times New Roman" w:hAnsi="Times New Roman" w:cs="Times New Roman"/>
          <w:sz w:val="24"/>
          <w:szCs w:val="24"/>
        </w:rPr>
        <w:t xml:space="preserve">. </w:t>
      </w:r>
      <w:r w:rsidRPr="00950BDF">
        <w:rPr>
          <w:rFonts w:ascii="Times New Roman" w:hAnsi="Times New Roman" w:cs="Times New Roman"/>
          <w:sz w:val="24"/>
          <w:szCs w:val="24"/>
        </w:rPr>
        <w:t>Регулаторните власти и органите за защита на конкуренцията обичайно считат държавните облигации за най-подходящия еквивалент на безрискови инструменти. За европейски проекти доходността по 30-годишни германски облигации, деноминирани в евро, е най-подходящото допускане за ниво на възвръщаемост от безрискови инструменти, предвид факта, че референтният период на проекта е 60</w:t>
      </w:r>
      <w:r w:rsidR="00641D24">
        <w:rPr>
          <w:rFonts w:ascii="Times New Roman" w:hAnsi="Times New Roman" w:cs="Times New Roman"/>
          <w:sz w:val="24"/>
          <w:szCs w:val="24"/>
        </w:rPr>
        <w:t>-</w:t>
      </w:r>
      <w:r w:rsidRPr="00950BDF">
        <w:rPr>
          <w:rFonts w:ascii="Times New Roman" w:hAnsi="Times New Roman" w:cs="Times New Roman"/>
          <w:sz w:val="24"/>
          <w:szCs w:val="24"/>
        </w:rPr>
        <w:t>годишен. Динамиката на доходността от тези облигации е представена на</w:t>
      </w:r>
      <w:r w:rsidR="002C6255">
        <w:rPr>
          <w:rFonts w:ascii="Times New Roman" w:hAnsi="Times New Roman" w:cs="Times New Roman"/>
          <w:sz w:val="24"/>
          <w:szCs w:val="24"/>
        </w:rPr>
        <w:t xml:space="preserve"> фиг. </w:t>
      </w:r>
      <w:r w:rsidR="002C6255" w:rsidRPr="00E44C19">
        <w:rPr>
          <w:rFonts w:ascii="Times New Roman" w:hAnsi="Times New Roman" w:cs="Times New Roman"/>
          <w:sz w:val="24"/>
          <w:szCs w:val="24"/>
          <w:lang w:val="en-US"/>
        </w:rPr>
        <w:t>V.</w:t>
      </w:r>
      <w:r w:rsidR="002C6255">
        <w:rPr>
          <w:rFonts w:ascii="Times New Roman" w:hAnsi="Times New Roman" w:cs="Times New Roman"/>
          <w:sz w:val="24"/>
          <w:szCs w:val="24"/>
        </w:rPr>
        <w:t>5</w:t>
      </w:r>
      <w:r w:rsidRPr="00950BDF">
        <w:rPr>
          <w:rFonts w:ascii="Times New Roman" w:hAnsi="Times New Roman" w:cs="Times New Roman"/>
          <w:sz w:val="24"/>
          <w:szCs w:val="24"/>
        </w:rPr>
        <w:t>.</w:t>
      </w:r>
      <w:r w:rsidR="00233DB8" w:rsidRPr="00233DB8">
        <w:rPr>
          <w:rFonts w:ascii="Times New Roman" w:hAnsi="Times New Roman" w:cs="Times New Roman"/>
          <w:sz w:val="24"/>
          <w:szCs w:val="24"/>
        </w:rPr>
        <w:t xml:space="preserve"> </w:t>
      </w:r>
    </w:p>
    <w:p w:rsidR="00233DB8" w:rsidRPr="00950BDF" w:rsidRDefault="00233DB8" w:rsidP="00233DB8">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Динамиката на доходността от 30-годишни германски облигации бележи тенденция към спад в периода 2014-2016 г. Средната доходност за периода е 1</w:t>
      </w:r>
      <w:r>
        <w:rPr>
          <w:rFonts w:ascii="Times New Roman" w:hAnsi="Times New Roman" w:cs="Times New Roman"/>
          <w:sz w:val="24"/>
          <w:szCs w:val="24"/>
        </w:rPr>
        <w:t>.</w:t>
      </w:r>
      <w:r w:rsidRPr="00950BDF">
        <w:rPr>
          <w:rFonts w:ascii="Times New Roman" w:hAnsi="Times New Roman" w:cs="Times New Roman"/>
          <w:sz w:val="24"/>
          <w:szCs w:val="24"/>
        </w:rPr>
        <w:t xml:space="preserve">331%, като пиковете са през януари 2014 г. </w:t>
      </w:r>
      <w:r>
        <w:rPr>
          <w:rFonts w:ascii="Times New Roman" w:hAnsi="Times New Roman" w:cs="Times New Roman"/>
          <w:sz w:val="24"/>
          <w:szCs w:val="24"/>
        </w:rPr>
        <w:t>(</w:t>
      </w:r>
      <w:r w:rsidRPr="00950BDF">
        <w:rPr>
          <w:rFonts w:ascii="Times New Roman" w:hAnsi="Times New Roman" w:cs="Times New Roman"/>
          <w:sz w:val="24"/>
          <w:szCs w:val="24"/>
        </w:rPr>
        <w:t>2</w:t>
      </w:r>
      <w:r>
        <w:rPr>
          <w:rFonts w:ascii="Times New Roman" w:hAnsi="Times New Roman" w:cs="Times New Roman"/>
          <w:sz w:val="24"/>
          <w:szCs w:val="24"/>
        </w:rPr>
        <w:t>.</w:t>
      </w:r>
      <w:r w:rsidRPr="00950BDF">
        <w:rPr>
          <w:rFonts w:ascii="Times New Roman" w:hAnsi="Times New Roman" w:cs="Times New Roman"/>
          <w:sz w:val="24"/>
          <w:szCs w:val="24"/>
        </w:rPr>
        <w:t>77%</w:t>
      </w:r>
      <w:r>
        <w:rPr>
          <w:rFonts w:ascii="Times New Roman" w:hAnsi="Times New Roman" w:cs="Times New Roman"/>
          <w:sz w:val="24"/>
          <w:szCs w:val="24"/>
        </w:rPr>
        <w:t>)</w:t>
      </w:r>
      <w:r w:rsidRPr="00950BDF">
        <w:rPr>
          <w:rFonts w:ascii="Times New Roman" w:hAnsi="Times New Roman" w:cs="Times New Roman"/>
          <w:sz w:val="24"/>
          <w:szCs w:val="24"/>
        </w:rPr>
        <w:t xml:space="preserve"> и януари 2016 г. </w:t>
      </w:r>
      <w:r>
        <w:rPr>
          <w:rFonts w:ascii="Times New Roman" w:hAnsi="Times New Roman" w:cs="Times New Roman"/>
          <w:sz w:val="24"/>
          <w:szCs w:val="24"/>
        </w:rPr>
        <w:t>(</w:t>
      </w:r>
      <w:r w:rsidRPr="00950BDF">
        <w:rPr>
          <w:rFonts w:ascii="Times New Roman" w:hAnsi="Times New Roman" w:cs="Times New Roman"/>
          <w:sz w:val="24"/>
          <w:szCs w:val="24"/>
        </w:rPr>
        <w:t>1</w:t>
      </w:r>
      <w:r>
        <w:rPr>
          <w:rFonts w:ascii="Times New Roman" w:hAnsi="Times New Roman" w:cs="Times New Roman"/>
          <w:sz w:val="24"/>
          <w:szCs w:val="24"/>
        </w:rPr>
        <w:t>.</w:t>
      </w:r>
      <w:r w:rsidRPr="00950BDF">
        <w:rPr>
          <w:rFonts w:ascii="Times New Roman" w:hAnsi="Times New Roman" w:cs="Times New Roman"/>
          <w:sz w:val="24"/>
          <w:szCs w:val="24"/>
        </w:rPr>
        <w:t>49%</w:t>
      </w:r>
      <w:r>
        <w:rPr>
          <w:rFonts w:ascii="Times New Roman" w:hAnsi="Times New Roman" w:cs="Times New Roman"/>
          <w:sz w:val="24"/>
          <w:szCs w:val="24"/>
        </w:rPr>
        <w:t>)</w:t>
      </w:r>
      <w:r w:rsidRPr="00950BDF">
        <w:rPr>
          <w:rFonts w:ascii="Times New Roman" w:hAnsi="Times New Roman" w:cs="Times New Roman"/>
          <w:sz w:val="24"/>
          <w:szCs w:val="24"/>
        </w:rPr>
        <w:t xml:space="preserve">, а най-големите спадове са през април 2015 г. </w:t>
      </w:r>
      <w:r>
        <w:rPr>
          <w:rFonts w:ascii="Times New Roman" w:hAnsi="Times New Roman" w:cs="Times New Roman"/>
          <w:sz w:val="24"/>
          <w:szCs w:val="24"/>
        </w:rPr>
        <w:t>(</w:t>
      </w:r>
      <w:r w:rsidRPr="00950BDF">
        <w:rPr>
          <w:rFonts w:ascii="Times New Roman" w:hAnsi="Times New Roman" w:cs="Times New Roman"/>
          <w:sz w:val="24"/>
          <w:szCs w:val="24"/>
        </w:rPr>
        <w:t>0</w:t>
      </w:r>
      <w:r>
        <w:rPr>
          <w:rFonts w:ascii="Times New Roman" w:hAnsi="Times New Roman" w:cs="Times New Roman"/>
          <w:sz w:val="24"/>
          <w:szCs w:val="24"/>
        </w:rPr>
        <w:t>.</w:t>
      </w:r>
      <w:r w:rsidRPr="00950BDF">
        <w:rPr>
          <w:rFonts w:ascii="Times New Roman" w:hAnsi="Times New Roman" w:cs="Times New Roman"/>
          <w:sz w:val="24"/>
          <w:szCs w:val="24"/>
        </w:rPr>
        <w:t>48%</w:t>
      </w:r>
      <w:r>
        <w:rPr>
          <w:rFonts w:ascii="Times New Roman" w:hAnsi="Times New Roman" w:cs="Times New Roman"/>
          <w:sz w:val="24"/>
          <w:szCs w:val="24"/>
        </w:rPr>
        <w:t>)</w:t>
      </w:r>
      <w:r w:rsidRPr="00950BDF">
        <w:rPr>
          <w:rFonts w:ascii="Times New Roman" w:hAnsi="Times New Roman" w:cs="Times New Roman"/>
          <w:sz w:val="24"/>
          <w:szCs w:val="24"/>
        </w:rPr>
        <w:t xml:space="preserve"> и юли 2016 г. </w:t>
      </w:r>
      <w:r>
        <w:rPr>
          <w:rFonts w:ascii="Times New Roman" w:hAnsi="Times New Roman" w:cs="Times New Roman"/>
          <w:sz w:val="24"/>
          <w:szCs w:val="24"/>
        </w:rPr>
        <w:t>(</w:t>
      </w:r>
      <w:r w:rsidRPr="00950BDF">
        <w:rPr>
          <w:rFonts w:ascii="Times New Roman" w:hAnsi="Times New Roman" w:cs="Times New Roman"/>
          <w:sz w:val="24"/>
          <w:szCs w:val="24"/>
        </w:rPr>
        <w:t>0</w:t>
      </w:r>
      <w:r>
        <w:rPr>
          <w:rFonts w:ascii="Times New Roman" w:hAnsi="Times New Roman" w:cs="Times New Roman"/>
          <w:sz w:val="24"/>
          <w:szCs w:val="24"/>
        </w:rPr>
        <w:t>.</w:t>
      </w:r>
      <w:r w:rsidRPr="00950BDF">
        <w:rPr>
          <w:rFonts w:ascii="Times New Roman" w:hAnsi="Times New Roman" w:cs="Times New Roman"/>
          <w:sz w:val="24"/>
          <w:szCs w:val="24"/>
        </w:rPr>
        <w:t>34%</w:t>
      </w:r>
      <w:r>
        <w:rPr>
          <w:rFonts w:ascii="Times New Roman" w:hAnsi="Times New Roman" w:cs="Times New Roman"/>
          <w:sz w:val="24"/>
          <w:szCs w:val="24"/>
        </w:rPr>
        <w:t>)</w:t>
      </w:r>
      <w:r w:rsidRPr="00950BDF">
        <w:rPr>
          <w:rFonts w:ascii="Times New Roman" w:hAnsi="Times New Roman" w:cs="Times New Roman"/>
          <w:sz w:val="24"/>
          <w:szCs w:val="24"/>
        </w:rPr>
        <w:t>. От началото на 2017 г. се наблюдава тенденция към растеж на доходността, като средно за периода тя е 1</w:t>
      </w:r>
      <w:r>
        <w:rPr>
          <w:rFonts w:ascii="Times New Roman" w:hAnsi="Times New Roman" w:cs="Times New Roman"/>
          <w:sz w:val="24"/>
          <w:szCs w:val="24"/>
        </w:rPr>
        <w:t>.</w:t>
      </w:r>
      <w:r w:rsidRPr="00950BDF">
        <w:rPr>
          <w:rFonts w:ascii="Times New Roman" w:hAnsi="Times New Roman" w:cs="Times New Roman"/>
          <w:sz w:val="24"/>
          <w:szCs w:val="24"/>
        </w:rPr>
        <w:t xml:space="preserve">141%. Тъй като това е много кратък период от гл.т. на прогнозирането, за целите на настоящата задача се приема, че нивото на възвръщаемост от безрискови инструменти ще бъде равно на средното за тригодишния период 2014-2016 г. </w:t>
      </w:r>
      <w:r>
        <w:rPr>
          <w:rFonts w:ascii="Times New Roman" w:hAnsi="Times New Roman" w:cs="Times New Roman"/>
          <w:sz w:val="24"/>
          <w:szCs w:val="24"/>
        </w:rPr>
        <w:t>(</w:t>
      </w:r>
      <w:r w:rsidRPr="00950BDF">
        <w:rPr>
          <w:rFonts w:ascii="Times New Roman" w:hAnsi="Times New Roman" w:cs="Times New Roman"/>
          <w:sz w:val="24"/>
          <w:szCs w:val="24"/>
        </w:rPr>
        <w:t>1</w:t>
      </w:r>
      <w:r>
        <w:rPr>
          <w:rFonts w:ascii="Times New Roman" w:hAnsi="Times New Roman" w:cs="Times New Roman"/>
          <w:sz w:val="24"/>
          <w:szCs w:val="24"/>
        </w:rPr>
        <w:t>.</w:t>
      </w:r>
      <w:r w:rsidRPr="00950BDF">
        <w:rPr>
          <w:rFonts w:ascii="Times New Roman" w:hAnsi="Times New Roman" w:cs="Times New Roman"/>
          <w:sz w:val="24"/>
          <w:szCs w:val="24"/>
        </w:rPr>
        <w:t>331%</w:t>
      </w:r>
      <w:r>
        <w:rPr>
          <w:rFonts w:ascii="Times New Roman" w:hAnsi="Times New Roman" w:cs="Times New Roman"/>
          <w:sz w:val="24"/>
          <w:szCs w:val="24"/>
        </w:rPr>
        <w:t>)</w:t>
      </w:r>
      <w:r w:rsidRPr="00950BDF">
        <w:rPr>
          <w:rFonts w:ascii="Times New Roman" w:hAnsi="Times New Roman" w:cs="Times New Roman"/>
          <w:sz w:val="24"/>
          <w:szCs w:val="24"/>
        </w:rPr>
        <w:t>.</w:t>
      </w:r>
    </w:p>
    <w:p w:rsidR="00950BDF" w:rsidRPr="00950BDF" w:rsidRDefault="00950BDF" w:rsidP="002C6255">
      <w:pPr>
        <w:spacing w:before="120" w:after="0" w:line="240" w:lineRule="auto"/>
        <w:jc w:val="both"/>
        <w:rPr>
          <w:rFonts w:ascii="Times New Roman" w:hAnsi="Times New Roman" w:cs="Times New Roman"/>
          <w:sz w:val="24"/>
          <w:szCs w:val="24"/>
        </w:rPr>
      </w:pPr>
    </w:p>
    <w:p w:rsidR="00950BDF" w:rsidRPr="00965B20" w:rsidRDefault="00965B20" w:rsidP="002A0227">
      <w:pPr>
        <w:pStyle w:val="Caption"/>
        <w:keepNext/>
        <w:rPr>
          <w:rFonts w:ascii="Times New Roman" w:hAnsi="Times New Roman"/>
          <w:szCs w:val="24"/>
        </w:rPr>
      </w:pPr>
      <w:bookmarkStart w:id="123" w:name="_Toc491990994"/>
      <w:bookmarkStart w:id="124" w:name="_Toc491994431"/>
      <w:bookmarkStart w:id="125" w:name="_Toc493240921"/>
      <w:r>
        <w:rPr>
          <w:rFonts w:hint="eastAsia"/>
        </w:rPr>
        <w:lastRenderedPageBreak/>
        <w:t>Фигура</w:t>
      </w:r>
      <w:r>
        <w:t xml:space="preserve"> V.</w:t>
      </w:r>
      <w:r w:rsidR="0097530B">
        <w:fldChar w:fldCharType="begin"/>
      </w:r>
      <w:r w:rsidR="00042F89">
        <w:instrText xml:space="preserve"> SEQ Фигура_V. \* ARABIC </w:instrText>
      </w:r>
      <w:r w:rsidR="0097530B">
        <w:fldChar w:fldCharType="separate"/>
      </w:r>
      <w:r w:rsidR="00F44EBF">
        <w:rPr>
          <w:noProof/>
        </w:rPr>
        <w:t>5</w:t>
      </w:r>
      <w:r w:rsidR="0097530B">
        <w:rPr>
          <w:noProof/>
        </w:rPr>
        <w:fldChar w:fldCharType="end"/>
      </w:r>
      <w:r>
        <w:rPr>
          <w:rFonts w:asciiTheme="minorHAnsi" w:hAnsiTheme="minorHAnsi"/>
        </w:rPr>
        <w:t xml:space="preserve">. </w:t>
      </w:r>
      <w:r w:rsidR="00950BDF" w:rsidRPr="00965B20">
        <w:rPr>
          <w:rFonts w:ascii="Times New Roman" w:hAnsi="Times New Roman"/>
          <w:szCs w:val="24"/>
        </w:rPr>
        <w:t>Доходност от 30-годишни германски облигации за периода 2013-2017 г.</w:t>
      </w:r>
      <w:bookmarkEnd w:id="123"/>
      <w:bookmarkEnd w:id="124"/>
      <w:bookmarkEnd w:id="125"/>
    </w:p>
    <w:p w:rsidR="00950BDF" w:rsidRPr="00950BDF" w:rsidRDefault="00950BDF" w:rsidP="002C6255">
      <w:pPr>
        <w:spacing w:before="120" w:after="120" w:line="240" w:lineRule="auto"/>
        <w:jc w:val="center"/>
        <w:rPr>
          <w:rFonts w:ascii="Times New Roman" w:hAnsi="Times New Roman" w:cs="Times New Roman"/>
          <w:sz w:val="24"/>
          <w:szCs w:val="24"/>
        </w:rPr>
      </w:pPr>
      <w:r w:rsidRPr="00950BDF">
        <w:rPr>
          <w:rFonts w:ascii="Times New Roman" w:hAnsi="Times New Roman" w:cs="Times New Roman"/>
          <w:noProof/>
          <w:sz w:val="24"/>
          <w:szCs w:val="24"/>
        </w:rPr>
        <w:drawing>
          <wp:inline distT="0" distB="0" distL="0" distR="0">
            <wp:extent cx="5202306" cy="2185220"/>
            <wp:effectExtent l="1905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227181" cy="2195669"/>
                    </a:xfrm>
                    <a:prstGeom prst="rect">
                      <a:avLst/>
                    </a:prstGeom>
                    <a:noFill/>
                    <a:ln w="9525">
                      <a:noFill/>
                      <a:miter lim="800000"/>
                      <a:headEnd/>
                      <a:tailEnd/>
                    </a:ln>
                  </pic:spPr>
                </pic:pic>
              </a:graphicData>
            </a:graphic>
          </wp:inline>
        </w:drawing>
      </w:r>
    </w:p>
    <w:p w:rsidR="00950BDF" w:rsidRPr="00CA6AE8" w:rsidRDefault="00950BDF" w:rsidP="00E44C19">
      <w:pPr>
        <w:spacing w:before="120" w:after="120" w:line="240" w:lineRule="auto"/>
        <w:jc w:val="center"/>
        <w:rPr>
          <w:rFonts w:ascii="Times New Roman" w:hAnsi="Times New Roman" w:cs="Times New Roman"/>
          <w:sz w:val="20"/>
          <w:szCs w:val="24"/>
          <w:lang w:val="en-US"/>
        </w:rPr>
      </w:pPr>
      <w:r w:rsidRPr="00CA6AE8">
        <w:rPr>
          <w:rFonts w:ascii="Times New Roman" w:hAnsi="Times New Roman" w:cs="Times New Roman"/>
          <w:sz w:val="20"/>
          <w:szCs w:val="24"/>
        </w:rPr>
        <w:t>Източник: Bloomberg.</w:t>
      </w:r>
    </w:p>
    <w:p w:rsidR="00950BDF" w:rsidRPr="00950BDF" w:rsidRDefault="00950BDF" w:rsidP="00E44C19">
      <w:pPr>
        <w:spacing w:before="120" w:after="120" w:line="240" w:lineRule="auto"/>
        <w:jc w:val="both"/>
        <w:rPr>
          <w:rFonts w:ascii="Times New Roman" w:hAnsi="Times New Roman" w:cs="Times New Roman"/>
          <w:sz w:val="24"/>
          <w:szCs w:val="24"/>
        </w:rPr>
      </w:pPr>
      <w:r w:rsidRPr="00E0790B">
        <w:rPr>
          <w:rFonts w:ascii="Times New Roman" w:hAnsi="Times New Roman" w:cs="Times New Roman"/>
          <w:i/>
          <w:sz w:val="24"/>
          <w:szCs w:val="24"/>
        </w:rPr>
        <w:t>Рискова надбавка за държавата</w:t>
      </w:r>
      <w:r w:rsidRPr="00E0790B">
        <w:rPr>
          <w:rFonts w:ascii="Times New Roman" w:hAnsi="Times New Roman" w:cs="Times New Roman"/>
          <w:sz w:val="24"/>
          <w:szCs w:val="24"/>
        </w:rPr>
        <w:t>.</w:t>
      </w:r>
      <w:r w:rsidRPr="00950BDF">
        <w:rPr>
          <w:rFonts w:ascii="Times New Roman" w:hAnsi="Times New Roman" w:cs="Times New Roman"/>
          <w:sz w:val="24"/>
          <w:szCs w:val="24"/>
        </w:rPr>
        <w:t xml:space="preserve"> В практиката инвеститорите винаги изискват допълнителна доходност</w:t>
      </w:r>
      <w:r w:rsidR="00E0790B">
        <w:rPr>
          <w:rFonts w:ascii="Times New Roman" w:hAnsi="Times New Roman" w:cs="Times New Roman"/>
          <w:sz w:val="24"/>
          <w:szCs w:val="24"/>
        </w:rPr>
        <w:t>,</w:t>
      </w:r>
      <w:r w:rsidRPr="00950BDF">
        <w:rPr>
          <w:rFonts w:ascii="Times New Roman" w:hAnsi="Times New Roman" w:cs="Times New Roman"/>
          <w:sz w:val="24"/>
          <w:szCs w:val="24"/>
        </w:rPr>
        <w:t xml:space="preserve"> свързана с риска, че изпълняват проект в дадена държава. Обичайният измерител на този риск е разликата в доходността между инструменти с еднаква доходност на държавата, в която ще се изпълнява проекта</w:t>
      </w:r>
      <w:r w:rsidR="00E0790B">
        <w:rPr>
          <w:rFonts w:ascii="Times New Roman" w:hAnsi="Times New Roman" w:cs="Times New Roman"/>
          <w:sz w:val="24"/>
          <w:szCs w:val="24"/>
        </w:rPr>
        <w:t>,</w:t>
      </w:r>
      <w:r w:rsidRPr="00950BDF">
        <w:rPr>
          <w:rFonts w:ascii="Times New Roman" w:hAnsi="Times New Roman" w:cs="Times New Roman"/>
          <w:sz w:val="24"/>
          <w:szCs w:val="24"/>
        </w:rPr>
        <w:t xml:space="preserve"> и държава</w:t>
      </w:r>
      <w:r w:rsidR="00E0790B">
        <w:rPr>
          <w:rFonts w:ascii="Times New Roman" w:hAnsi="Times New Roman" w:cs="Times New Roman"/>
          <w:sz w:val="24"/>
          <w:szCs w:val="24"/>
        </w:rPr>
        <w:t xml:space="preserve"> с</w:t>
      </w:r>
      <w:r w:rsidRPr="00950BDF">
        <w:rPr>
          <w:rFonts w:ascii="Times New Roman" w:hAnsi="Times New Roman" w:cs="Times New Roman"/>
          <w:sz w:val="24"/>
          <w:szCs w:val="24"/>
        </w:rPr>
        <w:t xml:space="preserve"> нисък риск. В случая с настоящия проект</w:t>
      </w:r>
      <w:r w:rsidR="00E0790B">
        <w:rPr>
          <w:rFonts w:ascii="Times New Roman" w:hAnsi="Times New Roman" w:cs="Times New Roman"/>
          <w:sz w:val="24"/>
          <w:szCs w:val="24"/>
        </w:rPr>
        <w:t>,</w:t>
      </w:r>
      <w:r w:rsidRPr="00950BDF">
        <w:rPr>
          <w:rFonts w:ascii="Times New Roman" w:hAnsi="Times New Roman" w:cs="Times New Roman"/>
          <w:sz w:val="24"/>
          <w:szCs w:val="24"/>
        </w:rPr>
        <w:t xml:space="preserve"> това може да се изпълни като се сравни доходността на държавни ценни книжа с еднаква продължителност на България и Германия. Поради дългия референтен период на проекта е необходимо да се работи с държавни ценни книжа с най-дългия възможен падеж. В България това е 10 години, поради </w:t>
      </w:r>
      <w:r w:rsidR="00E0790B">
        <w:rPr>
          <w:rFonts w:ascii="Times New Roman" w:hAnsi="Times New Roman" w:cs="Times New Roman"/>
          <w:sz w:val="24"/>
          <w:szCs w:val="24"/>
        </w:rPr>
        <w:t>това</w:t>
      </w:r>
      <w:r w:rsidRPr="00950BDF">
        <w:rPr>
          <w:rFonts w:ascii="Times New Roman" w:hAnsi="Times New Roman" w:cs="Times New Roman"/>
          <w:sz w:val="24"/>
          <w:szCs w:val="24"/>
        </w:rPr>
        <w:t xml:space="preserve"> съпоставката на доходността ще бъде направена с 10-годишни германски ценни книжа</w:t>
      </w:r>
      <w:r w:rsidR="00E0790B">
        <w:rPr>
          <w:rFonts w:ascii="Times New Roman" w:hAnsi="Times New Roman" w:cs="Times New Roman"/>
          <w:sz w:val="24"/>
          <w:szCs w:val="24"/>
        </w:rPr>
        <w:t xml:space="preserve"> (вж.</w:t>
      </w:r>
      <w:r w:rsidR="002C6255">
        <w:rPr>
          <w:rFonts w:ascii="Times New Roman" w:hAnsi="Times New Roman" w:cs="Times New Roman"/>
          <w:sz w:val="24"/>
          <w:szCs w:val="24"/>
        </w:rPr>
        <w:t xml:space="preserve"> фиг. </w:t>
      </w:r>
      <w:r w:rsidR="002C6255" w:rsidRPr="00E44C19">
        <w:rPr>
          <w:rFonts w:ascii="Times New Roman" w:hAnsi="Times New Roman" w:cs="Times New Roman"/>
          <w:sz w:val="24"/>
          <w:szCs w:val="24"/>
          <w:lang w:val="en-US"/>
        </w:rPr>
        <w:t>V.</w:t>
      </w:r>
      <w:r w:rsidR="002C6255">
        <w:rPr>
          <w:rFonts w:ascii="Times New Roman" w:hAnsi="Times New Roman" w:cs="Times New Roman"/>
          <w:sz w:val="24"/>
          <w:szCs w:val="24"/>
        </w:rPr>
        <w:t>6</w:t>
      </w:r>
      <w:r w:rsidR="00E0790B">
        <w:rPr>
          <w:rFonts w:ascii="Times New Roman" w:hAnsi="Times New Roman" w:cs="Times New Roman"/>
          <w:sz w:val="24"/>
          <w:szCs w:val="24"/>
        </w:rPr>
        <w:t>)</w:t>
      </w:r>
      <w:r w:rsidRPr="00950BDF">
        <w:rPr>
          <w:rFonts w:ascii="Times New Roman" w:hAnsi="Times New Roman" w:cs="Times New Roman"/>
          <w:sz w:val="24"/>
          <w:szCs w:val="24"/>
        </w:rPr>
        <w:t>.</w:t>
      </w:r>
    </w:p>
    <w:p w:rsidR="00950BDF" w:rsidRPr="00965B20" w:rsidRDefault="00965B20" w:rsidP="00965B20">
      <w:pPr>
        <w:pStyle w:val="Caption"/>
        <w:rPr>
          <w:rFonts w:ascii="Times New Roman" w:hAnsi="Times New Roman"/>
          <w:szCs w:val="24"/>
        </w:rPr>
      </w:pPr>
      <w:bookmarkStart w:id="126" w:name="_Toc491990995"/>
      <w:bookmarkStart w:id="127" w:name="_Toc491994432"/>
      <w:bookmarkStart w:id="128" w:name="_Toc493240922"/>
      <w:r w:rsidRPr="00965B20">
        <w:rPr>
          <w:rFonts w:hint="eastAsia"/>
        </w:rPr>
        <w:t>Фигура</w:t>
      </w:r>
      <w:r w:rsidRPr="00965B20">
        <w:t xml:space="preserve"> V.</w:t>
      </w:r>
      <w:r w:rsidR="0097530B">
        <w:fldChar w:fldCharType="begin"/>
      </w:r>
      <w:r w:rsidR="00042F89">
        <w:instrText xml:space="preserve"> SEQ Фигура_V. \* ARABIC </w:instrText>
      </w:r>
      <w:r w:rsidR="0097530B">
        <w:fldChar w:fldCharType="separate"/>
      </w:r>
      <w:r w:rsidR="00F44EBF">
        <w:rPr>
          <w:noProof/>
        </w:rPr>
        <w:t>6</w:t>
      </w:r>
      <w:r w:rsidR="0097530B">
        <w:rPr>
          <w:noProof/>
        </w:rPr>
        <w:fldChar w:fldCharType="end"/>
      </w:r>
      <w:r w:rsidRPr="00965B20">
        <w:rPr>
          <w:rFonts w:asciiTheme="minorHAnsi" w:hAnsiTheme="minorHAnsi"/>
        </w:rPr>
        <w:t xml:space="preserve">. </w:t>
      </w:r>
      <w:r w:rsidR="00950BDF" w:rsidRPr="00965B20">
        <w:rPr>
          <w:rFonts w:ascii="Times New Roman" w:hAnsi="Times New Roman"/>
          <w:szCs w:val="24"/>
        </w:rPr>
        <w:t>Доходност от 10-годишни германски и български облигации за периода 2014-2016 г.</w:t>
      </w:r>
      <w:bookmarkEnd w:id="126"/>
      <w:bookmarkEnd w:id="127"/>
      <w:bookmarkEnd w:id="128"/>
    </w:p>
    <w:p w:rsidR="00950BDF" w:rsidRPr="00950BDF" w:rsidRDefault="00950BDF" w:rsidP="00E44C19">
      <w:pPr>
        <w:spacing w:before="120" w:after="120" w:line="240" w:lineRule="auto"/>
        <w:rPr>
          <w:rFonts w:ascii="Times New Roman" w:hAnsi="Times New Roman" w:cs="Times New Roman"/>
          <w:sz w:val="24"/>
          <w:szCs w:val="24"/>
        </w:rPr>
      </w:pPr>
      <w:r w:rsidRPr="00950BDF">
        <w:rPr>
          <w:rFonts w:ascii="Times New Roman" w:hAnsi="Times New Roman" w:cs="Times New Roman"/>
          <w:noProof/>
          <w:sz w:val="24"/>
          <w:szCs w:val="24"/>
        </w:rPr>
        <w:drawing>
          <wp:inline distT="0" distB="0" distL="0" distR="0">
            <wp:extent cx="5771515" cy="3452495"/>
            <wp:effectExtent l="19050" t="0" r="635" b="0"/>
            <wp:docPr id="29"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19" cstate="print"/>
                    <a:srcRect/>
                    <a:stretch>
                      <a:fillRect/>
                    </a:stretch>
                  </pic:blipFill>
                  <pic:spPr bwMode="auto">
                    <a:xfrm>
                      <a:off x="0" y="0"/>
                      <a:ext cx="5771515" cy="3452495"/>
                    </a:xfrm>
                    <a:prstGeom prst="rect">
                      <a:avLst/>
                    </a:prstGeom>
                    <a:noFill/>
                    <a:ln w="9525">
                      <a:noFill/>
                      <a:miter lim="800000"/>
                      <a:headEnd/>
                      <a:tailEnd/>
                    </a:ln>
                  </pic:spPr>
                </pic:pic>
              </a:graphicData>
            </a:graphic>
          </wp:inline>
        </w:drawing>
      </w:r>
    </w:p>
    <w:p w:rsidR="00950BDF" w:rsidRPr="00CA6AE8" w:rsidRDefault="00950BDF" w:rsidP="00E44C19">
      <w:pPr>
        <w:spacing w:before="120" w:after="120" w:line="240" w:lineRule="auto"/>
        <w:jc w:val="center"/>
        <w:rPr>
          <w:rFonts w:ascii="Times New Roman" w:hAnsi="Times New Roman" w:cs="Times New Roman"/>
          <w:sz w:val="20"/>
          <w:szCs w:val="24"/>
          <w:lang w:val="en-US"/>
        </w:rPr>
      </w:pPr>
      <w:r w:rsidRPr="00CA6AE8">
        <w:rPr>
          <w:rFonts w:ascii="Times New Roman" w:hAnsi="Times New Roman" w:cs="Times New Roman"/>
          <w:sz w:val="20"/>
          <w:szCs w:val="24"/>
        </w:rPr>
        <w:t>Източник: Bloomberg, Министерство на финансите на Република България.</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lastRenderedPageBreak/>
        <w:t>Данните показват колебания в доходността от 10-годишни облигации както в Германия, така и в България, но като цяло за периода 2014-2016 г. доходността от българските ценни книжа е по-висока поради по-високия риск на страната. За целите на оценката на настоящия проект се приема, че рисковата надбавка за държавата</w:t>
      </w:r>
      <w:r w:rsidR="00E0790B">
        <w:rPr>
          <w:rFonts w:ascii="Times New Roman" w:hAnsi="Times New Roman" w:cs="Times New Roman"/>
          <w:sz w:val="24"/>
          <w:szCs w:val="24"/>
        </w:rPr>
        <w:t xml:space="preserve"> ще бъде разликата между средно</w:t>
      </w:r>
      <w:r w:rsidRPr="00950BDF">
        <w:rPr>
          <w:rFonts w:ascii="Times New Roman" w:hAnsi="Times New Roman" w:cs="Times New Roman"/>
          <w:sz w:val="24"/>
          <w:szCs w:val="24"/>
        </w:rPr>
        <w:t xml:space="preserve">претеглената доходност между двете държави за периода 2014-2016 г. </w:t>
      </w:r>
      <w:r w:rsidR="00E0790B">
        <w:rPr>
          <w:rFonts w:ascii="Times New Roman" w:hAnsi="Times New Roman" w:cs="Times New Roman"/>
          <w:sz w:val="24"/>
          <w:szCs w:val="24"/>
        </w:rPr>
        <w:t>(</w:t>
      </w:r>
      <w:r w:rsidRPr="00950BDF">
        <w:rPr>
          <w:rFonts w:ascii="Times New Roman" w:hAnsi="Times New Roman" w:cs="Times New Roman"/>
          <w:sz w:val="24"/>
          <w:szCs w:val="24"/>
        </w:rPr>
        <w:t>0</w:t>
      </w:r>
      <w:r w:rsidR="00233DB8">
        <w:rPr>
          <w:rFonts w:ascii="Times New Roman" w:hAnsi="Times New Roman" w:cs="Times New Roman"/>
          <w:sz w:val="24"/>
          <w:szCs w:val="24"/>
        </w:rPr>
        <w:t>.</w:t>
      </w:r>
      <w:r w:rsidRPr="00950BDF">
        <w:rPr>
          <w:rFonts w:ascii="Times New Roman" w:hAnsi="Times New Roman" w:cs="Times New Roman"/>
          <w:sz w:val="24"/>
          <w:szCs w:val="24"/>
        </w:rPr>
        <w:t>56%</w:t>
      </w:r>
      <w:r w:rsidR="00E0790B">
        <w:rPr>
          <w:rFonts w:ascii="Times New Roman" w:hAnsi="Times New Roman" w:cs="Times New Roman"/>
          <w:sz w:val="24"/>
          <w:szCs w:val="24"/>
        </w:rPr>
        <w:t>)</w:t>
      </w:r>
      <w:r w:rsidRPr="00950BDF">
        <w:rPr>
          <w:rFonts w:ascii="Times New Roman" w:hAnsi="Times New Roman" w:cs="Times New Roman"/>
          <w:sz w:val="24"/>
          <w:szCs w:val="24"/>
        </w:rPr>
        <w:t>.</w:t>
      </w:r>
    </w:p>
    <w:p w:rsidR="00950BDF" w:rsidRPr="00950BDF" w:rsidRDefault="00950BDF" w:rsidP="00E44C19">
      <w:pPr>
        <w:autoSpaceDE w:val="0"/>
        <w:autoSpaceDN w:val="0"/>
        <w:adjustRightInd w:val="0"/>
        <w:spacing w:before="120" w:after="120" w:line="240" w:lineRule="auto"/>
        <w:jc w:val="both"/>
        <w:rPr>
          <w:rFonts w:ascii="Times New Roman" w:hAnsi="Times New Roman" w:cs="Times New Roman"/>
          <w:sz w:val="24"/>
          <w:szCs w:val="24"/>
        </w:rPr>
      </w:pPr>
      <w:r w:rsidRPr="00E0790B">
        <w:rPr>
          <w:rFonts w:ascii="Times New Roman" w:hAnsi="Times New Roman" w:cs="Times New Roman"/>
          <w:i/>
          <w:sz w:val="24"/>
          <w:szCs w:val="24"/>
        </w:rPr>
        <w:t>Надбавка за бизнес риск</w:t>
      </w:r>
      <w:r w:rsidRPr="00E0790B">
        <w:rPr>
          <w:rFonts w:ascii="Times New Roman" w:hAnsi="Times New Roman" w:cs="Times New Roman"/>
          <w:sz w:val="24"/>
          <w:szCs w:val="24"/>
        </w:rPr>
        <w:t>.</w:t>
      </w:r>
      <w:r w:rsidRPr="00950BDF">
        <w:rPr>
          <w:rFonts w:ascii="Times New Roman" w:hAnsi="Times New Roman" w:cs="Times New Roman"/>
          <w:sz w:val="24"/>
          <w:szCs w:val="24"/>
        </w:rPr>
        <w:t xml:space="preserve"> Тази надбавка представлява допълнителната възвръщаемост над доходността от безрискови инструменти, която инвеститорите търсят, за да инвестират в даден сектор. </w:t>
      </w:r>
      <w:r w:rsidR="00E0790B">
        <w:rPr>
          <w:rFonts w:ascii="Times New Roman" w:hAnsi="Times New Roman" w:cs="Times New Roman"/>
          <w:sz w:val="24"/>
          <w:szCs w:val="24"/>
        </w:rPr>
        <w:t>Тя</w:t>
      </w:r>
      <w:r w:rsidRPr="00950BDF">
        <w:rPr>
          <w:rFonts w:ascii="Times New Roman" w:hAnsi="Times New Roman" w:cs="Times New Roman"/>
          <w:sz w:val="24"/>
          <w:szCs w:val="24"/>
        </w:rPr>
        <w:t xml:space="preserve"> се изчислява по формула</w:t>
      </w:r>
      <w:r w:rsidR="00E0790B">
        <w:rPr>
          <w:rFonts w:ascii="Times New Roman" w:hAnsi="Times New Roman" w:cs="Times New Roman"/>
          <w:sz w:val="24"/>
          <w:szCs w:val="24"/>
        </w:rPr>
        <w:t>та</w:t>
      </w:r>
      <w:r w:rsidRPr="00950BDF">
        <w:rPr>
          <w:rFonts w:ascii="Times New Roman" w:hAnsi="Times New Roman" w:cs="Times New Roman"/>
          <w:sz w:val="24"/>
          <w:szCs w:val="24"/>
        </w:rPr>
        <w:t xml:space="preserve"> ERP*β, където ERP (equity</w:t>
      </w:r>
      <w:r w:rsidR="002A0227">
        <w:rPr>
          <w:rFonts w:ascii="Times New Roman" w:hAnsi="Times New Roman" w:cs="Times New Roman"/>
          <w:sz w:val="24"/>
          <w:szCs w:val="24"/>
        </w:rPr>
        <w:t xml:space="preserve"> </w:t>
      </w:r>
      <w:r w:rsidRPr="00950BDF">
        <w:rPr>
          <w:rFonts w:ascii="Times New Roman" w:hAnsi="Times New Roman" w:cs="Times New Roman"/>
          <w:sz w:val="24"/>
          <w:szCs w:val="24"/>
        </w:rPr>
        <w:t>risk</w:t>
      </w:r>
      <w:r w:rsidR="002A0227">
        <w:rPr>
          <w:rFonts w:ascii="Times New Roman" w:hAnsi="Times New Roman" w:cs="Times New Roman"/>
          <w:sz w:val="24"/>
          <w:szCs w:val="24"/>
        </w:rPr>
        <w:t xml:space="preserve"> </w:t>
      </w:r>
      <w:r w:rsidRPr="00950BDF">
        <w:rPr>
          <w:rFonts w:ascii="Times New Roman" w:hAnsi="Times New Roman" w:cs="Times New Roman"/>
          <w:sz w:val="24"/>
          <w:szCs w:val="24"/>
        </w:rPr>
        <w:t xml:space="preserve">premium) </w:t>
      </w:r>
      <w:r w:rsidR="00E0790B">
        <w:rPr>
          <w:rFonts w:ascii="Times New Roman" w:hAnsi="Times New Roman" w:cs="Times New Roman"/>
          <w:sz w:val="24"/>
          <w:szCs w:val="24"/>
        </w:rPr>
        <w:t>е</w:t>
      </w:r>
      <w:r w:rsidRPr="00950BDF">
        <w:rPr>
          <w:rFonts w:ascii="Times New Roman" w:hAnsi="Times New Roman" w:cs="Times New Roman"/>
          <w:sz w:val="24"/>
          <w:szCs w:val="24"/>
        </w:rPr>
        <w:t xml:space="preserve"> доходността, която инвеститорите търсят над доходността от безрискови инструменти, а β измерва колебанията (volatility) на съответния сектор спрямо икономиката на страната. В България не се публикува официална статистика относно доходността от корпоративни ценни книжа както общо, така и по отделни сектори.Съгласно изследване на Норвежката банка за инвестиционен мениджмънт</w:t>
      </w:r>
      <w:r w:rsidR="00E0790B">
        <w:rPr>
          <w:rFonts w:ascii="Times New Roman" w:hAnsi="Times New Roman" w:cs="Times New Roman"/>
          <w:sz w:val="24"/>
          <w:szCs w:val="24"/>
        </w:rPr>
        <w:t>,</w:t>
      </w:r>
      <w:r w:rsidRPr="00950BDF">
        <w:rPr>
          <w:rFonts w:ascii="Times New Roman" w:hAnsi="Times New Roman" w:cs="Times New Roman"/>
          <w:sz w:val="24"/>
          <w:szCs w:val="24"/>
        </w:rPr>
        <w:t>ERP средно за Европа е 5</w:t>
      </w:r>
      <w:r w:rsidR="00233DB8">
        <w:rPr>
          <w:rFonts w:ascii="Times New Roman" w:hAnsi="Times New Roman" w:cs="Times New Roman"/>
          <w:sz w:val="24"/>
          <w:szCs w:val="24"/>
        </w:rPr>
        <w:t>.</w:t>
      </w:r>
      <w:r w:rsidRPr="00950BDF">
        <w:rPr>
          <w:rFonts w:ascii="Times New Roman" w:hAnsi="Times New Roman" w:cs="Times New Roman"/>
          <w:sz w:val="24"/>
          <w:szCs w:val="24"/>
        </w:rPr>
        <w:t>8%</w:t>
      </w:r>
      <w:r w:rsidR="00641D24">
        <w:rPr>
          <w:rFonts w:ascii="Times New Roman" w:hAnsi="Times New Roman" w:cs="Times New Roman"/>
          <w:sz w:val="24"/>
          <w:szCs w:val="24"/>
        </w:rPr>
        <w:t>.</w:t>
      </w:r>
      <w:r w:rsidRPr="00950BDF">
        <w:rPr>
          <w:rStyle w:val="FootnoteReference"/>
          <w:rFonts w:ascii="Times New Roman" w:hAnsi="Times New Roman" w:cs="Times New Roman"/>
          <w:sz w:val="24"/>
          <w:szCs w:val="24"/>
        </w:rPr>
        <w:footnoteReference w:id="8"/>
      </w:r>
      <w:r w:rsidRPr="00950BDF">
        <w:rPr>
          <w:rFonts w:ascii="Times New Roman" w:hAnsi="Times New Roman" w:cs="Times New Roman"/>
          <w:sz w:val="24"/>
          <w:szCs w:val="24"/>
        </w:rPr>
        <w:t xml:space="preserve"> Според изследването на проф. А. Дамодаран, публикувано в „Equity Risk</w:t>
      </w:r>
      <w:r w:rsidR="002A0227">
        <w:rPr>
          <w:rFonts w:ascii="Times New Roman" w:hAnsi="Times New Roman" w:cs="Times New Roman"/>
          <w:sz w:val="24"/>
          <w:szCs w:val="24"/>
        </w:rPr>
        <w:t xml:space="preserve"> </w:t>
      </w:r>
      <w:r w:rsidRPr="00950BDF">
        <w:rPr>
          <w:rFonts w:ascii="Times New Roman" w:hAnsi="Times New Roman" w:cs="Times New Roman"/>
          <w:sz w:val="24"/>
          <w:szCs w:val="24"/>
        </w:rPr>
        <w:t>Premiums (ERP): Determinants, Estimation</w:t>
      </w:r>
      <w:r w:rsidR="002A0227">
        <w:rPr>
          <w:rFonts w:ascii="Times New Roman" w:hAnsi="Times New Roman" w:cs="Times New Roman"/>
          <w:sz w:val="24"/>
          <w:szCs w:val="24"/>
        </w:rPr>
        <w:t xml:space="preserve"> </w:t>
      </w:r>
      <w:r w:rsidRPr="00950BDF">
        <w:rPr>
          <w:rFonts w:ascii="Times New Roman" w:hAnsi="Times New Roman" w:cs="Times New Roman"/>
          <w:sz w:val="24"/>
          <w:szCs w:val="24"/>
        </w:rPr>
        <w:t>and</w:t>
      </w:r>
      <w:r w:rsidR="002A0227">
        <w:rPr>
          <w:rFonts w:ascii="Times New Roman" w:hAnsi="Times New Roman" w:cs="Times New Roman"/>
          <w:sz w:val="24"/>
          <w:szCs w:val="24"/>
        </w:rPr>
        <w:t xml:space="preserve"> </w:t>
      </w:r>
      <w:r w:rsidRPr="00950BDF">
        <w:rPr>
          <w:rFonts w:ascii="Times New Roman" w:hAnsi="Times New Roman" w:cs="Times New Roman"/>
          <w:sz w:val="24"/>
          <w:szCs w:val="24"/>
        </w:rPr>
        <w:t>Implications – The 2017 Edition“</w:t>
      </w:r>
      <w:r w:rsidRPr="00950BDF">
        <w:rPr>
          <w:rStyle w:val="FootnoteReference"/>
          <w:rFonts w:ascii="Times New Roman" w:hAnsi="Times New Roman" w:cs="Times New Roman"/>
          <w:sz w:val="24"/>
          <w:szCs w:val="24"/>
        </w:rPr>
        <w:footnoteReference w:id="9"/>
      </w:r>
      <w:r w:rsidR="006B3599">
        <w:rPr>
          <w:rFonts w:ascii="Times New Roman" w:hAnsi="Times New Roman" w:cs="Times New Roman"/>
          <w:sz w:val="24"/>
          <w:szCs w:val="24"/>
        </w:rPr>
        <w:t>,</w:t>
      </w:r>
      <w:r w:rsidRPr="00950BDF">
        <w:rPr>
          <w:rFonts w:ascii="Times New Roman" w:hAnsi="Times New Roman" w:cs="Times New Roman"/>
          <w:sz w:val="24"/>
          <w:szCs w:val="24"/>
        </w:rPr>
        <w:t xml:space="preserve"> ERP за България </w:t>
      </w:r>
      <w:r w:rsidR="006B3599">
        <w:rPr>
          <w:rFonts w:ascii="Times New Roman" w:hAnsi="Times New Roman" w:cs="Times New Roman"/>
          <w:sz w:val="24"/>
          <w:szCs w:val="24"/>
        </w:rPr>
        <w:t>е</w:t>
      </w:r>
      <w:r w:rsidRPr="00950BDF">
        <w:rPr>
          <w:rFonts w:ascii="Times New Roman" w:hAnsi="Times New Roman" w:cs="Times New Roman"/>
          <w:sz w:val="24"/>
          <w:szCs w:val="24"/>
        </w:rPr>
        <w:t xml:space="preserve"> 6</w:t>
      </w:r>
      <w:r w:rsidR="00233DB8">
        <w:rPr>
          <w:rFonts w:ascii="Times New Roman" w:hAnsi="Times New Roman" w:cs="Times New Roman"/>
          <w:sz w:val="24"/>
          <w:szCs w:val="24"/>
        </w:rPr>
        <w:t>.</w:t>
      </w:r>
      <w:r w:rsidRPr="00950BDF">
        <w:rPr>
          <w:rFonts w:ascii="Times New Roman" w:hAnsi="Times New Roman" w:cs="Times New Roman"/>
          <w:sz w:val="24"/>
          <w:szCs w:val="24"/>
        </w:rPr>
        <w:t>65%</w:t>
      </w:r>
      <w:r w:rsidRPr="00950BDF">
        <w:rPr>
          <w:rFonts w:ascii="Times New Roman" w:hAnsi="Times New Roman" w:cs="Times New Roman"/>
          <w:sz w:val="24"/>
          <w:szCs w:val="24"/>
          <w:lang w:val="en-US"/>
        </w:rPr>
        <w:t xml:space="preserve">. </w:t>
      </w:r>
      <w:r w:rsidRPr="00950BDF">
        <w:rPr>
          <w:rFonts w:ascii="Times New Roman" w:hAnsi="Times New Roman" w:cs="Times New Roman"/>
          <w:sz w:val="24"/>
          <w:szCs w:val="24"/>
        </w:rPr>
        <w:t>За целите на настоящето изследване ще бъде приложена тази стойн</w:t>
      </w:r>
      <w:r w:rsidRPr="00A014E5">
        <w:rPr>
          <w:rFonts w:ascii="Times New Roman" w:hAnsi="Times New Roman" w:cs="Times New Roman"/>
          <w:sz w:val="24"/>
          <w:szCs w:val="24"/>
        </w:rPr>
        <w:t>ост.</w:t>
      </w:r>
      <w:r w:rsidR="00965B20" w:rsidRPr="00DB1A1E">
        <w:rPr>
          <w:rFonts w:ascii="Times New Roman" w:hAnsi="Times New Roman" w:cs="Times New Roman"/>
          <w:sz w:val="24"/>
          <w:szCs w:val="24"/>
        </w:rPr>
        <w:t xml:space="preserve"> И в двете изследвания стойностите на ERP са определени въз основа на исторически данни. Това е единият от двата подхода за изчисляване на ERP. Другият подход е въз основа на социологическо проучване на очакванията на инвеститорите. Резултати от подобно проучване са публикувани в</w:t>
      </w:r>
      <w:r w:rsidR="002A0227">
        <w:rPr>
          <w:rFonts w:ascii="Times New Roman" w:hAnsi="Times New Roman" w:cs="Times New Roman"/>
          <w:sz w:val="24"/>
          <w:szCs w:val="24"/>
        </w:rPr>
        <w:t xml:space="preserve"> „</w:t>
      </w:r>
      <w:r w:rsidR="00965B20" w:rsidRPr="00DB1A1E">
        <w:rPr>
          <w:rFonts w:ascii="Times New Roman" w:hAnsi="Times New Roman" w:cs="Times New Roman"/>
          <w:sz w:val="24"/>
          <w:szCs w:val="24"/>
          <w:lang w:val="en-US"/>
        </w:rPr>
        <w:t>Electricity Generation Costs and Hurdle Rates</w:t>
      </w:r>
      <w:r w:rsidR="002A0227">
        <w:rPr>
          <w:rFonts w:ascii="Times New Roman" w:hAnsi="Times New Roman" w:cs="Times New Roman"/>
          <w:sz w:val="24"/>
          <w:szCs w:val="24"/>
        </w:rPr>
        <w:t>”</w:t>
      </w:r>
      <w:r w:rsidR="00965B20" w:rsidRPr="00A014E5">
        <w:rPr>
          <w:rStyle w:val="FootnoteReference"/>
          <w:rFonts w:ascii="Times New Roman" w:hAnsi="Times New Roman" w:cs="Times New Roman"/>
          <w:sz w:val="24"/>
          <w:szCs w:val="24"/>
          <w:lang w:val="en-US"/>
        </w:rPr>
        <w:footnoteReference w:id="10"/>
      </w:r>
      <w:r w:rsidR="00965B20" w:rsidRPr="00DB1A1E">
        <w:rPr>
          <w:rFonts w:ascii="Times New Roman" w:hAnsi="Times New Roman" w:cs="Times New Roman"/>
          <w:sz w:val="24"/>
          <w:szCs w:val="24"/>
        </w:rPr>
        <w:t>очакваната от инвеститорите доходност на ядрени проекти варира в диапазона 9</w:t>
      </w:r>
      <w:r w:rsidR="00233DB8">
        <w:rPr>
          <w:rFonts w:ascii="Times New Roman" w:hAnsi="Times New Roman" w:cs="Times New Roman"/>
          <w:sz w:val="24"/>
          <w:szCs w:val="24"/>
        </w:rPr>
        <w:t>.</w:t>
      </w:r>
      <w:r w:rsidR="00965B20" w:rsidRPr="00DB1A1E">
        <w:rPr>
          <w:rFonts w:ascii="Times New Roman" w:hAnsi="Times New Roman" w:cs="Times New Roman"/>
          <w:sz w:val="24"/>
          <w:szCs w:val="24"/>
        </w:rPr>
        <w:t>7-13</w:t>
      </w:r>
      <w:r w:rsidR="00233DB8">
        <w:rPr>
          <w:rFonts w:ascii="Times New Roman" w:hAnsi="Times New Roman" w:cs="Times New Roman"/>
          <w:sz w:val="24"/>
          <w:szCs w:val="24"/>
        </w:rPr>
        <w:t>.</w:t>
      </w:r>
      <w:r w:rsidR="00965B20" w:rsidRPr="00DB1A1E">
        <w:rPr>
          <w:rFonts w:ascii="Times New Roman" w:hAnsi="Times New Roman" w:cs="Times New Roman"/>
          <w:sz w:val="24"/>
          <w:szCs w:val="24"/>
        </w:rPr>
        <w:t>6%, като за средна се приема стойността от 11</w:t>
      </w:r>
      <w:r w:rsidR="00233DB8">
        <w:rPr>
          <w:rFonts w:ascii="Times New Roman" w:hAnsi="Times New Roman" w:cs="Times New Roman"/>
          <w:sz w:val="24"/>
          <w:szCs w:val="24"/>
        </w:rPr>
        <w:t>.</w:t>
      </w:r>
      <w:r w:rsidR="00965B20" w:rsidRPr="00DB1A1E">
        <w:rPr>
          <w:rFonts w:ascii="Times New Roman" w:hAnsi="Times New Roman" w:cs="Times New Roman"/>
          <w:sz w:val="24"/>
          <w:szCs w:val="24"/>
        </w:rPr>
        <w:t>7%. Тези стойности са по-високи от реално постиганите, затова за целите на настоящето изследване ще бъд</w:t>
      </w:r>
      <w:r w:rsidR="00E6666C">
        <w:rPr>
          <w:rFonts w:ascii="Times New Roman" w:hAnsi="Times New Roman" w:cs="Times New Roman"/>
          <w:sz w:val="24"/>
          <w:szCs w:val="24"/>
        </w:rPr>
        <w:t>е приложена стойността от 6</w:t>
      </w:r>
      <w:r w:rsidR="00233DB8">
        <w:rPr>
          <w:rFonts w:ascii="Times New Roman" w:hAnsi="Times New Roman" w:cs="Times New Roman"/>
          <w:sz w:val="24"/>
          <w:szCs w:val="24"/>
        </w:rPr>
        <w:t>.</w:t>
      </w:r>
      <w:r w:rsidR="00965B20" w:rsidRPr="00DB1A1E">
        <w:rPr>
          <w:rFonts w:ascii="Times New Roman" w:hAnsi="Times New Roman" w:cs="Times New Roman"/>
          <w:sz w:val="24"/>
          <w:szCs w:val="24"/>
        </w:rPr>
        <w:t>65%.</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Коефициентът β се приема за 0</w:t>
      </w:r>
      <w:r w:rsidR="00233DB8">
        <w:rPr>
          <w:rFonts w:ascii="Times New Roman" w:hAnsi="Times New Roman" w:cs="Times New Roman"/>
          <w:sz w:val="24"/>
          <w:szCs w:val="24"/>
        </w:rPr>
        <w:t>.</w:t>
      </w:r>
      <w:r w:rsidRPr="00950BDF">
        <w:rPr>
          <w:rFonts w:ascii="Times New Roman" w:hAnsi="Times New Roman" w:cs="Times New Roman"/>
          <w:sz w:val="24"/>
          <w:szCs w:val="24"/>
        </w:rPr>
        <w:t>87 в съответствие със средния коефициент</w:t>
      </w:r>
      <w:r w:rsidR="00A014E5">
        <w:rPr>
          <w:rFonts w:ascii="Times New Roman" w:hAnsi="Times New Roman" w:cs="Times New Roman"/>
          <w:sz w:val="24"/>
          <w:szCs w:val="24"/>
        </w:rPr>
        <w:t>, получен</w:t>
      </w:r>
      <w:r w:rsidRPr="00950BDF">
        <w:rPr>
          <w:rFonts w:ascii="Times New Roman" w:hAnsi="Times New Roman" w:cs="Times New Roman"/>
          <w:sz w:val="24"/>
          <w:szCs w:val="24"/>
        </w:rPr>
        <w:t xml:space="preserve"> от изследване на европейски енергийни дружества</w:t>
      </w:r>
      <w:r w:rsidR="006B3599">
        <w:rPr>
          <w:rFonts w:ascii="Times New Roman" w:hAnsi="Times New Roman" w:cs="Times New Roman"/>
          <w:sz w:val="24"/>
          <w:szCs w:val="24"/>
        </w:rPr>
        <w:t xml:space="preserve"> (вж.</w:t>
      </w:r>
      <w:r w:rsidR="002C6255">
        <w:rPr>
          <w:rFonts w:ascii="Times New Roman" w:hAnsi="Times New Roman" w:cs="Times New Roman"/>
          <w:sz w:val="24"/>
          <w:szCs w:val="24"/>
        </w:rPr>
        <w:t xml:space="preserve">фиг. </w:t>
      </w:r>
      <w:r w:rsidR="002C6255" w:rsidRPr="00E44C19">
        <w:rPr>
          <w:rFonts w:ascii="Times New Roman" w:hAnsi="Times New Roman" w:cs="Times New Roman"/>
          <w:sz w:val="24"/>
          <w:szCs w:val="24"/>
          <w:lang w:val="en-US"/>
        </w:rPr>
        <w:t>V.</w:t>
      </w:r>
      <w:r w:rsidR="002C6255">
        <w:rPr>
          <w:rFonts w:ascii="Times New Roman" w:hAnsi="Times New Roman" w:cs="Times New Roman"/>
          <w:sz w:val="24"/>
          <w:szCs w:val="24"/>
        </w:rPr>
        <w:t>7</w:t>
      </w:r>
      <w:r w:rsidR="006B3599">
        <w:rPr>
          <w:rFonts w:ascii="Times New Roman" w:hAnsi="Times New Roman" w:cs="Times New Roman"/>
          <w:sz w:val="24"/>
          <w:szCs w:val="24"/>
        </w:rPr>
        <w:t>)</w:t>
      </w:r>
      <w:r w:rsidRPr="00950BDF">
        <w:rPr>
          <w:rFonts w:ascii="Times New Roman" w:hAnsi="Times New Roman" w:cs="Times New Roman"/>
          <w:sz w:val="24"/>
          <w:szCs w:val="24"/>
        </w:rPr>
        <w:t>.</w:t>
      </w:r>
    </w:p>
    <w:p w:rsidR="00950BDF" w:rsidRPr="00965B20" w:rsidRDefault="00965B20" w:rsidP="00965B20">
      <w:pPr>
        <w:pStyle w:val="Caption"/>
        <w:rPr>
          <w:rFonts w:ascii="Times New Roman" w:hAnsi="Times New Roman"/>
          <w:szCs w:val="24"/>
        </w:rPr>
      </w:pPr>
      <w:bookmarkStart w:id="129" w:name="_Toc491990996"/>
      <w:bookmarkStart w:id="130" w:name="_Toc491994433"/>
      <w:bookmarkStart w:id="131" w:name="_Toc493240923"/>
      <w:r w:rsidRPr="00965B20">
        <w:rPr>
          <w:rFonts w:hint="eastAsia"/>
        </w:rPr>
        <w:t>Фигура</w:t>
      </w:r>
      <w:r w:rsidRPr="00965B20">
        <w:t xml:space="preserve"> V.</w:t>
      </w:r>
      <w:r w:rsidR="0097530B">
        <w:fldChar w:fldCharType="begin"/>
      </w:r>
      <w:r w:rsidR="00042F89">
        <w:instrText xml:space="preserve"> SEQ Фигура_V. \* ARABIC </w:instrText>
      </w:r>
      <w:r w:rsidR="0097530B">
        <w:fldChar w:fldCharType="separate"/>
      </w:r>
      <w:r w:rsidR="00F44EBF">
        <w:rPr>
          <w:noProof/>
        </w:rPr>
        <w:t>7</w:t>
      </w:r>
      <w:r w:rsidR="0097530B">
        <w:rPr>
          <w:noProof/>
        </w:rPr>
        <w:fldChar w:fldCharType="end"/>
      </w:r>
      <w:r w:rsidRPr="00965B20">
        <w:rPr>
          <w:rFonts w:asciiTheme="minorHAnsi" w:hAnsiTheme="minorHAnsi"/>
        </w:rPr>
        <w:t xml:space="preserve">. </w:t>
      </w:r>
      <w:r w:rsidR="00950BDF" w:rsidRPr="00965B20">
        <w:rPr>
          <w:rFonts w:ascii="Times New Roman" w:hAnsi="Times New Roman"/>
          <w:szCs w:val="24"/>
        </w:rPr>
        <w:t>β коефициенти за доходността на капитала на европейските енергийни дружества</w:t>
      </w:r>
      <w:bookmarkEnd w:id="129"/>
      <w:bookmarkEnd w:id="130"/>
      <w:bookmarkEnd w:id="131"/>
    </w:p>
    <w:p w:rsidR="00950BDF" w:rsidRPr="00950BDF" w:rsidRDefault="00950BDF" w:rsidP="00E44C19">
      <w:pPr>
        <w:spacing w:before="120" w:after="120" w:line="240" w:lineRule="auto"/>
        <w:jc w:val="center"/>
        <w:rPr>
          <w:rFonts w:ascii="Times New Roman" w:hAnsi="Times New Roman" w:cs="Times New Roman"/>
          <w:sz w:val="24"/>
          <w:szCs w:val="24"/>
        </w:rPr>
      </w:pPr>
      <w:r w:rsidRPr="00950BDF">
        <w:rPr>
          <w:rFonts w:ascii="Times New Roman" w:hAnsi="Times New Roman" w:cs="Times New Roman"/>
          <w:noProof/>
          <w:sz w:val="24"/>
          <w:szCs w:val="24"/>
        </w:rPr>
        <w:drawing>
          <wp:inline distT="0" distB="0" distL="0" distR="0">
            <wp:extent cx="4178878" cy="2465095"/>
            <wp:effectExtent l="1905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4191515" cy="2472550"/>
                    </a:xfrm>
                    <a:prstGeom prst="rect">
                      <a:avLst/>
                    </a:prstGeom>
                    <a:noFill/>
                    <a:ln w="9525">
                      <a:noFill/>
                      <a:miter lim="800000"/>
                      <a:headEnd/>
                      <a:tailEnd/>
                    </a:ln>
                  </pic:spPr>
                </pic:pic>
              </a:graphicData>
            </a:graphic>
          </wp:inline>
        </w:drawing>
      </w:r>
    </w:p>
    <w:p w:rsidR="00950BDF" w:rsidRPr="00CA6AE8" w:rsidRDefault="00950BDF" w:rsidP="00E44C19">
      <w:pPr>
        <w:spacing w:before="120" w:after="120" w:line="240" w:lineRule="auto"/>
        <w:jc w:val="center"/>
        <w:rPr>
          <w:rFonts w:ascii="Times New Roman" w:hAnsi="Times New Roman" w:cs="Times New Roman"/>
          <w:sz w:val="20"/>
          <w:szCs w:val="24"/>
          <w:lang w:val="en-US"/>
        </w:rPr>
      </w:pPr>
      <w:r w:rsidRPr="00CA6AE8">
        <w:rPr>
          <w:rFonts w:ascii="Times New Roman" w:hAnsi="Times New Roman" w:cs="Times New Roman"/>
          <w:sz w:val="20"/>
          <w:szCs w:val="24"/>
        </w:rPr>
        <w:t>Източник: Economic analysisforthePaks II nuclearpowerproject, September 2015, Rothschild.</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lastRenderedPageBreak/>
        <w:t>В резултат от направените допускания</w:t>
      </w:r>
      <w:r w:rsidR="006B3599">
        <w:rPr>
          <w:rFonts w:ascii="Times New Roman" w:hAnsi="Times New Roman" w:cs="Times New Roman"/>
          <w:sz w:val="24"/>
          <w:szCs w:val="24"/>
        </w:rPr>
        <w:t>,</w:t>
      </w:r>
      <w:r w:rsidRPr="00950BDF">
        <w:rPr>
          <w:rFonts w:ascii="Times New Roman" w:hAnsi="Times New Roman" w:cs="Times New Roman"/>
          <w:sz w:val="24"/>
          <w:szCs w:val="24"/>
        </w:rPr>
        <w:t xml:space="preserve"> надбавката за бизнес риск за оценявания проект се изчислява </w:t>
      </w:r>
      <w:r w:rsidR="006B3599">
        <w:rPr>
          <w:rFonts w:ascii="Times New Roman" w:hAnsi="Times New Roman" w:cs="Times New Roman"/>
          <w:sz w:val="24"/>
          <w:szCs w:val="24"/>
        </w:rPr>
        <w:t>като</w:t>
      </w:r>
      <w:r w:rsidRPr="00950BDF">
        <w:rPr>
          <w:rFonts w:ascii="Times New Roman" w:hAnsi="Times New Roman" w:cs="Times New Roman"/>
          <w:sz w:val="24"/>
          <w:szCs w:val="24"/>
          <w:lang w:val="en-US"/>
        </w:rPr>
        <w:t>0</w:t>
      </w:r>
      <w:r w:rsidR="00233DB8">
        <w:rPr>
          <w:rFonts w:ascii="Times New Roman" w:hAnsi="Times New Roman" w:cs="Times New Roman"/>
          <w:sz w:val="24"/>
          <w:szCs w:val="24"/>
        </w:rPr>
        <w:t>.</w:t>
      </w:r>
      <w:r w:rsidRPr="00950BDF">
        <w:rPr>
          <w:rFonts w:ascii="Times New Roman" w:hAnsi="Times New Roman" w:cs="Times New Roman"/>
          <w:sz w:val="24"/>
          <w:szCs w:val="24"/>
          <w:lang w:val="en-US"/>
        </w:rPr>
        <w:t>87*6</w:t>
      </w:r>
      <w:r w:rsidR="00233DB8">
        <w:rPr>
          <w:rFonts w:ascii="Times New Roman" w:hAnsi="Times New Roman" w:cs="Times New Roman"/>
          <w:sz w:val="24"/>
          <w:szCs w:val="24"/>
        </w:rPr>
        <w:t>.</w:t>
      </w:r>
      <w:r w:rsidRPr="00950BDF">
        <w:rPr>
          <w:rFonts w:ascii="Times New Roman" w:hAnsi="Times New Roman" w:cs="Times New Roman"/>
          <w:sz w:val="24"/>
          <w:szCs w:val="24"/>
          <w:lang w:val="en-US"/>
        </w:rPr>
        <w:t xml:space="preserve">65% </w:t>
      </w:r>
      <w:r w:rsidRPr="00950BDF">
        <w:rPr>
          <w:rFonts w:ascii="Times New Roman" w:hAnsi="Times New Roman" w:cs="Times New Roman"/>
          <w:sz w:val="24"/>
          <w:szCs w:val="24"/>
        </w:rPr>
        <w:t>и е равна на 5</w:t>
      </w:r>
      <w:r w:rsidR="00233DB8">
        <w:rPr>
          <w:rFonts w:ascii="Times New Roman" w:hAnsi="Times New Roman" w:cs="Times New Roman"/>
          <w:sz w:val="24"/>
          <w:szCs w:val="24"/>
        </w:rPr>
        <w:t>.</w:t>
      </w:r>
      <w:r w:rsidRPr="00950BDF">
        <w:rPr>
          <w:rFonts w:ascii="Times New Roman" w:hAnsi="Times New Roman" w:cs="Times New Roman"/>
          <w:sz w:val="24"/>
          <w:szCs w:val="24"/>
        </w:rPr>
        <w:t>79%.</w:t>
      </w:r>
    </w:p>
    <w:p w:rsidR="00950BDF" w:rsidRPr="00950BDF" w:rsidRDefault="00950BDF" w:rsidP="00E44C19">
      <w:pPr>
        <w:spacing w:before="120" w:after="120" w:line="240" w:lineRule="auto"/>
        <w:jc w:val="both"/>
        <w:rPr>
          <w:rFonts w:ascii="Times New Roman" w:hAnsi="Times New Roman" w:cs="Times New Roman"/>
          <w:sz w:val="24"/>
          <w:szCs w:val="24"/>
        </w:rPr>
      </w:pPr>
      <w:r w:rsidRPr="006B3599">
        <w:rPr>
          <w:rFonts w:ascii="Times New Roman" w:hAnsi="Times New Roman" w:cs="Times New Roman"/>
          <w:i/>
          <w:sz w:val="24"/>
          <w:szCs w:val="24"/>
        </w:rPr>
        <w:t>Надбавка за асиметричен проектен риск</w:t>
      </w:r>
      <w:r w:rsidRPr="006B3599">
        <w:rPr>
          <w:rFonts w:ascii="Times New Roman" w:hAnsi="Times New Roman" w:cs="Times New Roman"/>
          <w:sz w:val="24"/>
          <w:szCs w:val="24"/>
        </w:rPr>
        <w:t>.</w:t>
      </w:r>
      <w:r w:rsidRPr="00950BDF">
        <w:rPr>
          <w:rFonts w:ascii="Times New Roman" w:hAnsi="Times New Roman" w:cs="Times New Roman"/>
          <w:sz w:val="24"/>
          <w:szCs w:val="24"/>
        </w:rPr>
        <w:t xml:space="preserve"> Този вид риск е свързан с изпълнението на големи инвестиционни проекти, при които се изпълняват строителни дейности. Проявленията </w:t>
      </w:r>
      <w:r w:rsidR="006B3599">
        <w:rPr>
          <w:rFonts w:ascii="Times New Roman" w:hAnsi="Times New Roman" w:cs="Times New Roman"/>
          <w:sz w:val="24"/>
          <w:szCs w:val="24"/>
        </w:rPr>
        <w:t>му обикновено са удължаване</w:t>
      </w:r>
      <w:r w:rsidRPr="00950BDF">
        <w:rPr>
          <w:rFonts w:ascii="Times New Roman" w:hAnsi="Times New Roman" w:cs="Times New Roman"/>
          <w:sz w:val="24"/>
          <w:szCs w:val="24"/>
        </w:rPr>
        <w:t xml:space="preserve"> на периода на строителство над първоначално предвидения, допълнително нарастване на разходите за строителство, проблеми с качеството и др. Вкарването на инвестиционния компонент от проекта в рамките на т.нар. ЕРС договор (Engineering, procurement</w:t>
      </w:r>
      <w:r w:rsidR="002A0227">
        <w:rPr>
          <w:rFonts w:ascii="Times New Roman" w:hAnsi="Times New Roman" w:cs="Times New Roman"/>
          <w:sz w:val="24"/>
          <w:szCs w:val="24"/>
        </w:rPr>
        <w:t xml:space="preserve"> </w:t>
      </w:r>
      <w:r w:rsidRPr="00950BDF">
        <w:rPr>
          <w:rFonts w:ascii="Times New Roman" w:hAnsi="Times New Roman" w:cs="Times New Roman"/>
          <w:sz w:val="24"/>
          <w:szCs w:val="24"/>
        </w:rPr>
        <w:t>and</w:t>
      </w:r>
      <w:r w:rsidR="002A0227">
        <w:rPr>
          <w:rFonts w:ascii="Times New Roman" w:hAnsi="Times New Roman" w:cs="Times New Roman"/>
          <w:sz w:val="24"/>
          <w:szCs w:val="24"/>
        </w:rPr>
        <w:t xml:space="preserve"> </w:t>
      </w:r>
      <w:r w:rsidRPr="00950BDF">
        <w:rPr>
          <w:rFonts w:ascii="Times New Roman" w:hAnsi="Times New Roman" w:cs="Times New Roman"/>
          <w:sz w:val="24"/>
          <w:szCs w:val="24"/>
        </w:rPr>
        <w:t>construction</w:t>
      </w:r>
      <w:r w:rsidR="002A0227">
        <w:rPr>
          <w:rFonts w:ascii="Times New Roman" w:hAnsi="Times New Roman" w:cs="Times New Roman"/>
          <w:sz w:val="24"/>
          <w:szCs w:val="24"/>
        </w:rPr>
        <w:t xml:space="preserve"> </w:t>
      </w:r>
      <w:r w:rsidR="00641D24">
        <w:rPr>
          <w:rFonts w:ascii="Times New Roman" w:hAnsi="Times New Roman" w:cs="Times New Roman"/>
          <w:sz w:val="24"/>
          <w:szCs w:val="24"/>
        </w:rPr>
        <w:t>–</w:t>
      </w:r>
      <w:r w:rsidRPr="00950BDF">
        <w:rPr>
          <w:rFonts w:ascii="Times New Roman" w:hAnsi="Times New Roman" w:cs="Times New Roman"/>
          <w:sz w:val="24"/>
          <w:szCs w:val="24"/>
        </w:rPr>
        <w:t xml:space="preserve"> проектиране, доставка и строителство) с фиксирана цена</w:t>
      </w:r>
      <w:r w:rsidR="006B3599">
        <w:rPr>
          <w:rFonts w:ascii="Times New Roman" w:hAnsi="Times New Roman" w:cs="Times New Roman"/>
          <w:sz w:val="24"/>
          <w:szCs w:val="24"/>
        </w:rPr>
        <w:t xml:space="preserve"> и клаузи за изграждане до ключ</w:t>
      </w:r>
      <w:r w:rsidRPr="00950BDF">
        <w:rPr>
          <w:rFonts w:ascii="Times New Roman" w:hAnsi="Times New Roman" w:cs="Times New Roman"/>
          <w:sz w:val="24"/>
          <w:szCs w:val="24"/>
        </w:rPr>
        <w:t xml:space="preserve"> значително намалява вероятността от настъпване на посочените рискове. Обичайната надбавка за асиметричен риск за проекти в ядрената енергетика е около 0</w:t>
      </w:r>
      <w:r w:rsidR="00233DB8">
        <w:rPr>
          <w:rFonts w:ascii="Times New Roman" w:hAnsi="Times New Roman" w:cs="Times New Roman"/>
          <w:sz w:val="24"/>
          <w:szCs w:val="24"/>
        </w:rPr>
        <w:t>.</w:t>
      </w:r>
      <w:r w:rsidRPr="00950BDF">
        <w:rPr>
          <w:rFonts w:ascii="Times New Roman" w:hAnsi="Times New Roman" w:cs="Times New Roman"/>
          <w:sz w:val="24"/>
          <w:szCs w:val="24"/>
        </w:rPr>
        <w:t>5-1%, която се използва при оценката на настоящия проект.</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 xml:space="preserve">На базата на направените допускания за четирите параметъра на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oMath>
      <w:r w:rsidRPr="00950BDF">
        <w:rPr>
          <w:rFonts w:ascii="Times New Roman" w:hAnsi="Times New Roman" w:cs="Times New Roman"/>
          <w:sz w:val="24"/>
          <w:szCs w:val="24"/>
        </w:rPr>
        <w:t>, коефициентът се изчислява на (1</w:t>
      </w:r>
      <w:r w:rsidR="00233DB8">
        <w:rPr>
          <w:rFonts w:ascii="Times New Roman" w:hAnsi="Times New Roman" w:cs="Times New Roman"/>
          <w:sz w:val="24"/>
          <w:szCs w:val="24"/>
        </w:rPr>
        <w:t>.</w:t>
      </w:r>
      <w:r w:rsidRPr="00950BDF">
        <w:rPr>
          <w:rFonts w:ascii="Times New Roman" w:hAnsi="Times New Roman" w:cs="Times New Roman"/>
          <w:sz w:val="24"/>
          <w:szCs w:val="24"/>
        </w:rPr>
        <w:t>33% + 0</w:t>
      </w:r>
      <w:r w:rsidR="00233DB8">
        <w:rPr>
          <w:rFonts w:ascii="Times New Roman" w:hAnsi="Times New Roman" w:cs="Times New Roman"/>
          <w:sz w:val="24"/>
          <w:szCs w:val="24"/>
        </w:rPr>
        <w:t>.</w:t>
      </w:r>
      <w:r w:rsidRPr="00950BDF">
        <w:rPr>
          <w:rFonts w:ascii="Times New Roman" w:hAnsi="Times New Roman" w:cs="Times New Roman"/>
          <w:sz w:val="24"/>
          <w:szCs w:val="24"/>
        </w:rPr>
        <w:t>56% + 5</w:t>
      </w:r>
      <w:r w:rsidR="00233DB8">
        <w:rPr>
          <w:rFonts w:ascii="Times New Roman" w:hAnsi="Times New Roman" w:cs="Times New Roman"/>
          <w:sz w:val="24"/>
          <w:szCs w:val="24"/>
        </w:rPr>
        <w:t>.</w:t>
      </w:r>
      <w:r w:rsidRPr="00950BDF">
        <w:rPr>
          <w:rFonts w:ascii="Times New Roman" w:hAnsi="Times New Roman" w:cs="Times New Roman"/>
          <w:sz w:val="24"/>
          <w:szCs w:val="24"/>
        </w:rPr>
        <w:t>79% + 1%) = 8</w:t>
      </w:r>
      <w:r w:rsidR="00233DB8">
        <w:rPr>
          <w:rFonts w:ascii="Times New Roman" w:hAnsi="Times New Roman" w:cs="Times New Roman"/>
          <w:sz w:val="24"/>
          <w:szCs w:val="24"/>
        </w:rPr>
        <w:t>.</w:t>
      </w:r>
      <w:r w:rsidRPr="00950BDF">
        <w:rPr>
          <w:rFonts w:ascii="Times New Roman" w:hAnsi="Times New Roman" w:cs="Times New Roman"/>
          <w:sz w:val="24"/>
          <w:szCs w:val="24"/>
        </w:rPr>
        <w:t>68%.</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В разработения за оценката на проекта финансов модел има 6 варианта, като във Варианти 1 и 4 съотношението дълг/собствен капитал е 50</w:t>
      </w:r>
      <w:r w:rsidR="00641D24">
        <w:rPr>
          <w:rFonts w:ascii="Times New Roman" w:hAnsi="Times New Roman" w:cs="Times New Roman"/>
          <w:sz w:val="24"/>
          <w:szCs w:val="24"/>
        </w:rPr>
        <w:t>/</w:t>
      </w:r>
      <w:r w:rsidRPr="00950BDF">
        <w:rPr>
          <w:rFonts w:ascii="Times New Roman" w:hAnsi="Times New Roman" w:cs="Times New Roman"/>
          <w:sz w:val="24"/>
          <w:szCs w:val="24"/>
        </w:rPr>
        <w:t>50</w:t>
      </w:r>
      <w:r w:rsidR="006B3599">
        <w:rPr>
          <w:rFonts w:ascii="Times New Roman" w:hAnsi="Times New Roman" w:cs="Times New Roman"/>
          <w:sz w:val="24"/>
          <w:szCs w:val="24"/>
        </w:rPr>
        <w:t>,</w:t>
      </w:r>
      <w:r w:rsidRPr="00950BDF">
        <w:rPr>
          <w:rFonts w:ascii="Times New Roman" w:hAnsi="Times New Roman" w:cs="Times New Roman"/>
          <w:sz w:val="24"/>
          <w:szCs w:val="24"/>
        </w:rPr>
        <w:t xml:space="preserve"> във Варианти 2 и 4 </w:t>
      </w:r>
      <w:r w:rsidR="006B3599">
        <w:rPr>
          <w:rFonts w:ascii="Times New Roman" w:hAnsi="Times New Roman" w:cs="Times New Roman"/>
          <w:sz w:val="24"/>
          <w:szCs w:val="24"/>
        </w:rPr>
        <w:t>–</w:t>
      </w:r>
      <w:r w:rsidRPr="00950BDF">
        <w:rPr>
          <w:rFonts w:ascii="Times New Roman" w:hAnsi="Times New Roman" w:cs="Times New Roman"/>
          <w:sz w:val="24"/>
          <w:szCs w:val="24"/>
        </w:rPr>
        <w:t xml:space="preserve"> 60</w:t>
      </w:r>
      <w:r w:rsidR="00641D24">
        <w:rPr>
          <w:rFonts w:ascii="Times New Roman" w:hAnsi="Times New Roman" w:cs="Times New Roman"/>
          <w:sz w:val="24"/>
          <w:szCs w:val="24"/>
        </w:rPr>
        <w:t>/</w:t>
      </w:r>
      <w:r w:rsidRPr="00950BDF">
        <w:rPr>
          <w:rFonts w:ascii="Times New Roman" w:hAnsi="Times New Roman" w:cs="Times New Roman"/>
          <w:sz w:val="24"/>
          <w:szCs w:val="24"/>
        </w:rPr>
        <w:t>40</w:t>
      </w:r>
      <w:r w:rsidR="006B3599">
        <w:rPr>
          <w:rFonts w:ascii="Times New Roman" w:hAnsi="Times New Roman" w:cs="Times New Roman"/>
          <w:sz w:val="24"/>
          <w:szCs w:val="24"/>
        </w:rPr>
        <w:t>,</w:t>
      </w:r>
      <w:r w:rsidR="00233DB8">
        <w:rPr>
          <w:rFonts w:ascii="Times New Roman" w:hAnsi="Times New Roman" w:cs="Times New Roman"/>
          <w:sz w:val="24"/>
          <w:szCs w:val="24"/>
        </w:rPr>
        <w:t xml:space="preserve"> </w:t>
      </w:r>
      <w:r w:rsidR="006B3599">
        <w:rPr>
          <w:rFonts w:ascii="Times New Roman" w:hAnsi="Times New Roman" w:cs="Times New Roman"/>
          <w:sz w:val="24"/>
          <w:szCs w:val="24"/>
        </w:rPr>
        <w:t>а</w:t>
      </w:r>
      <w:r w:rsidRPr="00950BDF">
        <w:rPr>
          <w:rFonts w:ascii="Times New Roman" w:hAnsi="Times New Roman" w:cs="Times New Roman"/>
          <w:sz w:val="24"/>
          <w:szCs w:val="24"/>
        </w:rPr>
        <w:t xml:space="preserve"> при Варианти 3 и 6 </w:t>
      </w:r>
      <w:r w:rsidR="006B3599">
        <w:rPr>
          <w:rFonts w:ascii="Times New Roman" w:hAnsi="Times New Roman" w:cs="Times New Roman"/>
          <w:sz w:val="24"/>
          <w:szCs w:val="24"/>
        </w:rPr>
        <w:t>–</w:t>
      </w:r>
      <w:r w:rsidRPr="00950BDF">
        <w:rPr>
          <w:rFonts w:ascii="Times New Roman" w:hAnsi="Times New Roman" w:cs="Times New Roman"/>
          <w:sz w:val="24"/>
          <w:szCs w:val="24"/>
        </w:rPr>
        <w:t xml:space="preserve"> 70</w:t>
      </w:r>
      <w:r w:rsidR="00641D24">
        <w:rPr>
          <w:rFonts w:ascii="Times New Roman" w:hAnsi="Times New Roman" w:cs="Times New Roman"/>
          <w:sz w:val="24"/>
          <w:szCs w:val="24"/>
        </w:rPr>
        <w:t>/</w:t>
      </w:r>
      <w:r w:rsidRPr="00950BDF">
        <w:rPr>
          <w:rFonts w:ascii="Times New Roman" w:hAnsi="Times New Roman" w:cs="Times New Roman"/>
          <w:sz w:val="24"/>
          <w:szCs w:val="24"/>
        </w:rPr>
        <w:t xml:space="preserve">30. Различните съотношения между дълга и собствения капитал предполагат и различен WACC, от което следва, че паричните потоци ще се дисконтират с различна дисконтова норма. Стойностите на WACC </w:t>
      </w:r>
      <w:r w:rsidR="006B3599" w:rsidRPr="00950BDF">
        <w:rPr>
          <w:rFonts w:ascii="Times New Roman" w:hAnsi="Times New Roman" w:cs="Times New Roman"/>
          <w:sz w:val="24"/>
          <w:szCs w:val="24"/>
        </w:rPr>
        <w:t xml:space="preserve">ще бъдат използвани като дисконтови норми за оценка на посочените 6 варианта </w:t>
      </w:r>
      <w:r w:rsidR="006B3599">
        <w:rPr>
          <w:rFonts w:ascii="Times New Roman" w:hAnsi="Times New Roman" w:cs="Times New Roman"/>
          <w:sz w:val="24"/>
          <w:szCs w:val="24"/>
        </w:rPr>
        <w:t>(вж.</w:t>
      </w:r>
      <w:r w:rsidR="002C6255">
        <w:rPr>
          <w:rFonts w:ascii="Times New Roman" w:hAnsi="Times New Roman" w:cs="Times New Roman"/>
          <w:sz w:val="24"/>
          <w:szCs w:val="24"/>
        </w:rPr>
        <w:t xml:space="preserve"> табл. </w:t>
      </w:r>
      <w:r w:rsidR="002C6255" w:rsidRPr="00E44C19">
        <w:rPr>
          <w:rFonts w:ascii="Times New Roman" w:hAnsi="Times New Roman" w:cs="Times New Roman"/>
          <w:sz w:val="24"/>
          <w:szCs w:val="24"/>
          <w:lang w:val="en-US"/>
        </w:rPr>
        <w:t>V.</w:t>
      </w:r>
      <w:r w:rsidR="00965B20">
        <w:rPr>
          <w:rFonts w:ascii="Times New Roman" w:hAnsi="Times New Roman" w:cs="Times New Roman"/>
          <w:sz w:val="24"/>
          <w:szCs w:val="24"/>
        </w:rPr>
        <w:t>10</w:t>
      </w:r>
      <w:r w:rsidR="006B3599">
        <w:rPr>
          <w:rFonts w:ascii="Times New Roman" w:hAnsi="Times New Roman" w:cs="Times New Roman"/>
          <w:sz w:val="24"/>
          <w:szCs w:val="24"/>
        </w:rPr>
        <w:t>)</w:t>
      </w:r>
      <w:r w:rsidRPr="00950BDF">
        <w:rPr>
          <w:rFonts w:ascii="Times New Roman" w:hAnsi="Times New Roman" w:cs="Times New Roman"/>
          <w:sz w:val="24"/>
          <w:szCs w:val="24"/>
        </w:rPr>
        <w:t>.</w:t>
      </w:r>
    </w:p>
    <w:p w:rsidR="00950BDF" w:rsidRPr="00965B20" w:rsidRDefault="00965B20" w:rsidP="00965B20">
      <w:pPr>
        <w:pStyle w:val="Caption"/>
        <w:rPr>
          <w:rFonts w:ascii="Times New Roman" w:hAnsi="Times New Roman"/>
          <w:szCs w:val="24"/>
          <w:lang w:val="en-US"/>
        </w:rPr>
      </w:pPr>
      <w:bookmarkStart w:id="132" w:name="_Toc491990980"/>
      <w:bookmarkStart w:id="133" w:name="_Toc491994415"/>
      <w:bookmarkStart w:id="134" w:name="_Toc493240906"/>
      <w:r w:rsidRPr="00965B20">
        <w:rPr>
          <w:rFonts w:hint="eastAsia"/>
        </w:rPr>
        <w:t>Таблица</w:t>
      </w:r>
      <w:r w:rsidRPr="00965B20">
        <w:t xml:space="preserve"> V.</w:t>
      </w:r>
      <w:r w:rsidR="0097530B">
        <w:fldChar w:fldCharType="begin"/>
      </w:r>
      <w:r w:rsidR="00042F89">
        <w:instrText xml:space="preserve"> SEQ Таблица_V. \* ARABIC </w:instrText>
      </w:r>
      <w:r w:rsidR="0097530B">
        <w:fldChar w:fldCharType="separate"/>
      </w:r>
      <w:r w:rsidR="00F44EBF">
        <w:rPr>
          <w:noProof/>
        </w:rPr>
        <w:t>10</w:t>
      </w:r>
      <w:r w:rsidR="0097530B">
        <w:rPr>
          <w:noProof/>
        </w:rPr>
        <w:fldChar w:fldCharType="end"/>
      </w:r>
      <w:r w:rsidRPr="00965B20">
        <w:rPr>
          <w:rFonts w:asciiTheme="minorHAnsi" w:hAnsiTheme="minorHAnsi"/>
        </w:rPr>
        <w:t xml:space="preserve">. </w:t>
      </w:r>
      <w:r w:rsidR="00950BDF" w:rsidRPr="00965B20">
        <w:rPr>
          <w:rFonts w:ascii="Times New Roman" w:hAnsi="Times New Roman"/>
          <w:szCs w:val="24"/>
        </w:rPr>
        <w:t>Претеглени средни разходи за капитала (WACC) по варианти на проекта</w:t>
      </w:r>
      <w:bookmarkEnd w:id="132"/>
      <w:bookmarkEnd w:id="133"/>
      <w:r w:rsidR="00A73480" w:rsidRPr="00965B20">
        <w:rPr>
          <w:rFonts w:ascii="Times New Roman" w:hAnsi="Times New Roman"/>
          <w:szCs w:val="24"/>
          <w:lang w:val="en-US"/>
        </w:rPr>
        <w:t xml:space="preserve"> (%)</w:t>
      </w:r>
      <w:bookmarkEnd w:id="134"/>
    </w:p>
    <w:tbl>
      <w:tblPr>
        <w:tblW w:w="0" w:type="auto"/>
        <w:tblInd w:w="26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46"/>
        <w:gridCol w:w="1598"/>
      </w:tblGrid>
      <w:tr w:rsidR="00950BDF" w:rsidRPr="00950BDF" w:rsidTr="00A73480">
        <w:tc>
          <w:tcPr>
            <w:tcW w:w="1946" w:type="dxa"/>
            <w:tcBorders>
              <w:top w:val="single" w:sz="12" w:space="0" w:color="auto"/>
              <w:bottom w:val="single" w:sz="12" w:space="0" w:color="auto"/>
              <w:right w:val="single" w:sz="12" w:space="0" w:color="auto"/>
            </w:tcBorders>
            <w:shd w:val="clear" w:color="auto" w:fill="E7E6E6"/>
          </w:tcPr>
          <w:p w:rsidR="00950BDF" w:rsidRPr="00950BDF" w:rsidRDefault="00950BDF" w:rsidP="00A73480">
            <w:pPr>
              <w:spacing w:after="0" w:line="240" w:lineRule="auto"/>
              <w:ind w:left="113" w:right="113"/>
              <w:rPr>
                <w:rFonts w:ascii="Times New Roman" w:hAnsi="Times New Roman" w:cs="Times New Roman"/>
                <w:b/>
                <w:sz w:val="24"/>
                <w:szCs w:val="24"/>
              </w:rPr>
            </w:pPr>
            <w:r w:rsidRPr="00950BDF">
              <w:rPr>
                <w:rFonts w:ascii="Times New Roman" w:hAnsi="Times New Roman" w:cs="Times New Roman"/>
                <w:b/>
                <w:sz w:val="24"/>
                <w:szCs w:val="24"/>
              </w:rPr>
              <w:t>Варианти</w:t>
            </w:r>
          </w:p>
        </w:tc>
        <w:tc>
          <w:tcPr>
            <w:tcW w:w="1598" w:type="dxa"/>
            <w:tcBorders>
              <w:left w:val="single" w:sz="12" w:space="0" w:color="auto"/>
              <w:bottom w:val="single" w:sz="12" w:space="0" w:color="auto"/>
            </w:tcBorders>
            <w:shd w:val="clear" w:color="auto" w:fill="E7E6E6"/>
          </w:tcPr>
          <w:p w:rsidR="00950BDF" w:rsidRPr="00950BDF" w:rsidRDefault="00950BDF" w:rsidP="00E44C19">
            <w:pPr>
              <w:spacing w:after="0" w:line="240" w:lineRule="auto"/>
              <w:jc w:val="center"/>
              <w:rPr>
                <w:rFonts w:ascii="Times New Roman" w:hAnsi="Times New Roman" w:cs="Times New Roman"/>
                <w:b/>
                <w:sz w:val="24"/>
                <w:szCs w:val="24"/>
              </w:rPr>
            </w:pPr>
            <w:r w:rsidRPr="00950BDF">
              <w:rPr>
                <w:rFonts w:ascii="Times New Roman" w:hAnsi="Times New Roman" w:cs="Times New Roman"/>
                <w:b/>
                <w:sz w:val="24"/>
                <w:szCs w:val="24"/>
              </w:rPr>
              <w:t>WACC</w:t>
            </w:r>
          </w:p>
        </w:tc>
      </w:tr>
      <w:tr w:rsidR="00950BDF" w:rsidRPr="00950BDF" w:rsidTr="00A73480">
        <w:tc>
          <w:tcPr>
            <w:tcW w:w="1946" w:type="dxa"/>
            <w:tcBorders>
              <w:top w:val="single" w:sz="12" w:space="0" w:color="auto"/>
              <w:bottom w:val="single" w:sz="4" w:space="0" w:color="auto"/>
              <w:right w:val="single" w:sz="12" w:space="0" w:color="auto"/>
            </w:tcBorders>
            <w:shd w:val="clear" w:color="auto" w:fill="auto"/>
          </w:tcPr>
          <w:p w:rsidR="00950BDF" w:rsidRPr="00950BDF" w:rsidRDefault="00950BDF" w:rsidP="00A73480">
            <w:pPr>
              <w:spacing w:after="0" w:line="240" w:lineRule="auto"/>
              <w:ind w:left="113" w:right="113"/>
              <w:rPr>
                <w:rFonts w:ascii="Times New Roman" w:hAnsi="Times New Roman" w:cs="Times New Roman"/>
                <w:sz w:val="24"/>
                <w:szCs w:val="24"/>
              </w:rPr>
            </w:pPr>
            <w:r w:rsidRPr="00950BDF">
              <w:rPr>
                <w:rFonts w:ascii="Times New Roman" w:hAnsi="Times New Roman" w:cs="Times New Roman"/>
                <w:sz w:val="24"/>
                <w:szCs w:val="24"/>
              </w:rPr>
              <w:t>Вариант 1 и 4</w:t>
            </w:r>
          </w:p>
        </w:tc>
        <w:tc>
          <w:tcPr>
            <w:tcW w:w="1598" w:type="dxa"/>
            <w:tcBorders>
              <w:top w:val="single" w:sz="12" w:space="0" w:color="auto"/>
              <w:left w:val="single" w:sz="12" w:space="0" w:color="auto"/>
              <w:bottom w:val="single" w:sz="4" w:space="0" w:color="auto"/>
            </w:tcBorders>
            <w:shd w:val="clear" w:color="auto" w:fill="auto"/>
          </w:tcPr>
          <w:p w:rsidR="00950BDF" w:rsidRPr="00A73480" w:rsidRDefault="00A73480" w:rsidP="00E6666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7</w:t>
            </w:r>
            <w:r w:rsidR="00233DB8">
              <w:rPr>
                <w:rFonts w:ascii="Times New Roman" w:hAnsi="Times New Roman" w:cs="Times New Roman"/>
                <w:sz w:val="24"/>
                <w:szCs w:val="24"/>
                <w:lang w:val="en-US"/>
              </w:rPr>
              <w:t>.</w:t>
            </w:r>
            <w:r>
              <w:rPr>
                <w:rFonts w:ascii="Times New Roman" w:hAnsi="Times New Roman" w:cs="Times New Roman"/>
                <w:sz w:val="24"/>
                <w:szCs w:val="24"/>
              </w:rPr>
              <w:t>14</w:t>
            </w:r>
          </w:p>
        </w:tc>
      </w:tr>
      <w:tr w:rsidR="00950BDF" w:rsidRPr="00950BDF" w:rsidTr="00A73480">
        <w:tc>
          <w:tcPr>
            <w:tcW w:w="1946" w:type="dxa"/>
            <w:tcBorders>
              <w:top w:val="single" w:sz="4" w:space="0" w:color="auto"/>
              <w:right w:val="single" w:sz="12" w:space="0" w:color="auto"/>
            </w:tcBorders>
            <w:shd w:val="clear" w:color="auto" w:fill="auto"/>
          </w:tcPr>
          <w:p w:rsidR="00950BDF" w:rsidRPr="00950BDF" w:rsidRDefault="00950BDF" w:rsidP="00A73480">
            <w:pPr>
              <w:spacing w:after="0" w:line="240" w:lineRule="auto"/>
              <w:ind w:left="113" w:right="113"/>
              <w:rPr>
                <w:rFonts w:ascii="Times New Roman" w:hAnsi="Times New Roman" w:cs="Times New Roman"/>
                <w:sz w:val="24"/>
                <w:szCs w:val="24"/>
              </w:rPr>
            </w:pPr>
            <w:r w:rsidRPr="00950BDF">
              <w:rPr>
                <w:rFonts w:ascii="Times New Roman" w:hAnsi="Times New Roman" w:cs="Times New Roman"/>
                <w:sz w:val="24"/>
                <w:szCs w:val="24"/>
              </w:rPr>
              <w:t>Вариант 2 и 5</w:t>
            </w:r>
          </w:p>
        </w:tc>
        <w:tc>
          <w:tcPr>
            <w:tcW w:w="1598" w:type="dxa"/>
            <w:tcBorders>
              <w:top w:val="single" w:sz="4" w:space="0" w:color="auto"/>
              <w:left w:val="single" w:sz="12" w:space="0" w:color="auto"/>
            </w:tcBorders>
            <w:shd w:val="clear" w:color="auto" w:fill="auto"/>
          </w:tcPr>
          <w:p w:rsidR="00950BDF" w:rsidRPr="00A73480" w:rsidRDefault="00E6666C" w:rsidP="00E44C1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6</w:t>
            </w:r>
            <w:r w:rsidR="00233DB8">
              <w:rPr>
                <w:rFonts w:ascii="Times New Roman" w:hAnsi="Times New Roman" w:cs="Times New Roman"/>
                <w:sz w:val="24"/>
                <w:szCs w:val="24"/>
                <w:lang w:val="en-US"/>
              </w:rPr>
              <w:t>.</w:t>
            </w:r>
            <w:r w:rsidR="00A73480">
              <w:rPr>
                <w:rFonts w:ascii="Times New Roman" w:hAnsi="Times New Roman" w:cs="Times New Roman"/>
                <w:sz w:val="24"/>
                <w:szCs w:val="24"/>
              </w:rPr>
              <w:t>85</w:t>
            </w:r>
          </w:p>
        </w:tc>
      </w:tr>
      <w:tr w:rsidR="00950BDF" w:rsidRPr="00950BDF" w:rsidTr="00A73480">
        <w:tc>
          <w:tcPr>
            <w:tcW w:w="1946" w:type="dxa"/>
            <w:tcBorders>
              <w:bottom w:val="single" w:sz="12" w:space="0" w:color="auto"/>
              <w:right w:val="single" w:sz="12" w:space="0" w:color="auto"/>
            </w:tcBorders>
            <w:shd w:val="clear" w:color="auto" w:fill="auto"/>
          </w:tcPr>
          <w:p w:rsidR="00950BDF" w:rsidRPr="00950BDF" w:rsidRDefault="00950BDF" w:rsidP="00A73480">
            <w:pPr>
              <w:spacing w:after="0" w:line="240" w:lineRule="auto"/>
              <w:ind w:left="113" w:right="113"/>
              <w:rPr>
                <w:rFonts w:ascii="Times New Roman" w:hAnsi="Times New Roman" w:cs="Times New Roman"/>
                <w:sz w:val="24"/>
                <w:szCs w:val="24"/>
              </w:rPr>
            </w:pPr>
            <w:r w:rsidRPr="00950BDF">
              <w:rPr>
                <w:rFonts w:ascii="Times New Roman" w:hAnsi="Times New Roman" w:cs="Times New Roman"/>
                <w:sz w:val="24"/>
                <w:szCs w:val="24"/>
              </w:rPr>
              <w:t>Вариант 3 и 6</w:t>
            </w:r>
          </w:p>
        </w:tc>
        <w:tc>
          <w:tcPr>
            <w:tcW w:w="1598" w:type="dxa"/>
            <w:tcBorders>
              <w:left w:val="single" w:sz="12" w:space="0" w:color="auto"/>
            </w:tcBorders>
            <w:shd w:val="clear" w:color="auto" w:fill="auto"/>
          </w:tcPr>
          <w:p w:rsidR="00950BDF" w:rsidRPr="00A73480" w:rsidRDefault="00E6666C" w:rsidP="00E44C1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6</w:t>
            </w:r>
            <w:r w:rsidR="00233DB8">
              <w:rPr>
                <w:rFonts w:ascii="Times New Roman" w:hAnsi="Times New Roman" w:cs="Times New Roman"/>
                <w:sz w:val="24"/>
                <w:szCs w:val="24"/>
                <w:lang w:val="en-US"/>
              </w:rPr>
              <w:t>.</w:t>
            </w:r>
            <w:r w:rsidR="00A73480">
              <w:rPr>
                <w:rFonts w:ascii="Times New Roman" w:hAnsi="Times New Roman" w:cs="Times New Roman"/>
                <w:sz w:val="24"/>
                <w:szCs w:val="24"/>
              </w:rPr>
              <w:t>56</w:t>
            </w:r>
          </w:p>
        </w:tc>
      </w:tr>
    </w:tbl>
    <w:p w:rsidR="00950BDF" w:rsidRPr="00CA6AE8" w:rsidRDefault="00950BDF" w:rsidP="00E44C19">
      <w:pPr>
        <w:spacing w:before="120" w:after="120" w:line="240" w:lineRule="auto"/>
        <w:jc w:val="center"/>
        <w:rPr>
          <w:rFonts w:ascii="Times New Roman" w:hAnsi="Times New Roman" w:cs="Times New Roman"/>
          <w:sz w:val="20"/>
          <w:szCs w:val="24"/>
        </w:rPr>
      </w:pPr>
      <w:r w:rsidRPr="00CA6AE8">
        <w:rPr>
          <w:rFonts w:ascii="Times New Roman" w:hAnsi="Times New Roman" w:cs="Times New Roman"/>
          <w:sz w:val="20"/>
          <w:szCs w:val="24"/>
        </w:rPr>
        <w:t>Източник: Собствени изчисления.</w:t>
      </w:r>
    </w:p>
    <w:p w:rsidR="00950BDF" w:rsidRPr="00950BDF" w:rsidRDefault="00950BDF" w:rsidP="002C6255">
      <w:pPr>
        <w:spacing w:after="0" w:line="240" w:lineRule="auto"/>
        <w:rPr>
          <w:rFonts w:ascii="Times New Roman" w:hAnsi="Times New Roman" w:cs="Times New Roman"/>
          <w:sz w:val="24"/>
          <w:szCs w:val="24"/>
        </w:rPr>
      </w:pPr>
    </w:p>
    <w:p w:rsidR="00950BDF" w:rsidRPr="00950BDF" w:rsidRDefault="00950BDF" w:rsidP="002A32DA">
      <w:pPr>
        <w:pStyle w:val="Heading1"/>
        <w:keepLines/>
        <w:numPr>
          <w:ilvl w:val="0"/>
          <w:numId w:val="8"/>
        </w:numPr>
        <w:spacing w:before="120" w:after="120"/>
        <w:ind w:left="284" w:hanging="284"/>
        <w:jc w:val="both"/>
        <w:rPr>
          <w:sz w:val="24"/>
          <w:szCs w:val="24"/>
        </w:rPr>
      </w:pPr>
      <w:bookmarkStart w:id="135" w:name="_Toc489886928"/>
      <w:bookmarkStart w:id="136" w:name="_Toc491994401"/>
      <w:bookmarkStart w:id="137" w:name="_Toc492991260"/>
      <w:bookmarkStart w:id="138" w:name="_Toc492991320"/>
      <w:bookmarkStart w:id="139" w:name="_Toc492991343"/>
      <w:r w:rsidRPr="00950BDF">
        <w:rPr>
          <w:sz w:val="24"/>
          <w:szCs w:val="24"/>
        </w:rPr>
        <w:t>Р</w:t>
      </w:r>
      <w:r w:rsidR="00CA6AE8" w:rsidRPr="00950BDF">
        <w:rPr>
          <w:sz w:val="24"/>
          <w:szCs w:val="24"/>
        </w:rPr>
        <w:t>езултати</w:t>
      </w:r>
      <w:bookmarkEnd w:id="135"/>
      <w:bookmarkEnd w:id="136"/>
      <w:bookmarkEnd w:id="137"/>
      <w:bookmarkEnd w:id="138"/>
      <w:bookmarkEnd w:id="139"/>
    </w:p>
    <w:p w:rsidR="00950BDF" w:rsidRDefault="006B3599" w:rsidP="00E44C1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Тук ще</w:t>
      </w:r>
      <w:r w:rsidR="00950BDF" w:rsidRPr="00950BDF">
        <w:rPr>
          <w:rFonts w:ascii="Times New Roman" w:hAnsi="Times New Roman" w:cs="Times New Roman"/>
          <w:sz w:val="24"/>
          <w:szCs w:val="24"/>
        </w:rPr>
        <w:t xml:space="preserve"> представ</w:t>
      </w:r>
      <w:r>
        <w:rPr>
          <w:rFonts w:ascii="Times New Roman" w:hAnsi="Times New Roman" w:cs="Times New Roman"/>
          <w:sz w:val="24"/>
          <w:szCs w:val="24"/>
        </w:rPr>
        <w:t>им</w:t>
      </w:r>
      <w:r w:rsidR="00950BDF" w:rsidRPr="00950BDF">
        <w:rPr>
          <w:rFonts w:ascii="Times New Roman" w:hAnsi="Times New Roman" w:cs="Times New Roman"/>
          <w:sz w:val="24"/>
          <w:szCs w:val="24"/>
        </w:rPr>
        <w:t xml:space="preserve"> основните резултати, получени от разработените финансови анализи на проекта АЕЦ „Белене“.</w:t>
      </w:r>
    </w:p>
    <w:p w:rsidR="00233DB8" w:rsidRPr="00950BDF" w:rsidRDefault="00233DB8" w:rsidP="00E44C19">
      <w:pPr>
        <w:spacing w:before="120" w:after="120" w:line="240" w:lineRule="auto"/>
        <w:jc w:val="both"/>
        <w:rPr>
          <w:rFonts w:ascii="Times New Roman" w:hAnsi="Times New Roman" w:cs="Times New Roman"/>
          <w:sz w:val="24"/>
          <w:szCs w:val="24"/>
        </w:rPr>
      </w:pPr>
    </w:p>
    <w:p w:rsidR="00950BDF" w:rsidRPr="006B3599" w:rsidRDefault="00950BDF" w:rsidP="00E44C19">
      <w:pPr>
        <w:pStyle w:val="Heading4"/>
        <w:spacing w:before="120" w:after="120" w:line="240" w:lineRule="auto"/>
        <w:jc w:val="both"/>
        <w:rPr>
          <w:rFonts w:ascii="Times New Roman" w:hAnsi="Times New Roman" w:cs="Times New Roman"/>
          <w:b w:val="0"/>
          <w:color w:val="auto"/>
          <w:sz w:val="24"/>
          <w:szCs w:val="24"/>
        </w:rPr>
      </w:pPr>
      <w:r w:rsidRPr="006B3599">
        <w:rPr>
          <w:rFonts w:ascii="Times New Roman" w:hAnsi="Times New Roman" w:cs="Times New Roman"/>
          <w:b w:val="0"/>
          <w:color w:val="auto"/>
          <w:sz w:val="24"/>
          <w:szCs w:val="24"/>
        </w:rPr>
        <w:t>Оперативни разходи и разходи за поддръжка</w:t>
      </w:r>
    </w:p>
    <w:p w:rsid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Оперативните разходи нарастват за периода на експлоатация на АЕЦ „Белене“, като средногодишните разходи за периода 2027-2047 г.(с цел да има съпоставимост, тъй като отчисленията за Фонд СЕС са за първите 20 години) са представени в</w:t>
      </w:r>
      <w:r w:rsidR="002C6255">
        <w:rPr>
          <w:rFonts w:ascii="Times New Roman" w:hAnsi="Times New Roman" w:cs="Times New Roman"/>
          <w:sz w:val="24"/>
          <w:szCs w:val="24"/>
        </w:rPr>
        <w:t xml:space="preserve"> табл. </w:t>
      </w:r>
      <w:r w:rsidR="002C6255" w:rsidRPr="00E44C19">
        <w:rPr>
          <w:rFonts w:ascii="Times New Roman" w:hAnsi="Times New Roman" w:cs="Times New Roman"/>
          <w:sz w:val="24"/>
          <w:szCs w:val="24"/>
          <w:lang w:val="en-US"/>
        </w:rPr>
        <w:t>V.</w:t>
      </w:r>
      <w:r w:rsidR="00965B20">
        <w:rPr>
          <w:rFonts w:ascii="Times New Roman" w:hAnsi="Times New Roman" w:cs="Times New Roman"/>
          <w:sz w:val="24"/>
          <w:szCs w:val="24"/>
        </w:rPr>
        <w:t>11</w:t>
      </w:r>
      <w:r w:rsidRPr="00950BDF">
        <w:rPr>
          <w:rFonts w:ascii="Times New Roman" w:hAnsi="Times New Roman" w:cs="Times New Roman"/>
          <w:sz w:val="24"/>
          <w:szCs w:val="24"/>
        </w:rPr>
        <w:t>.</w:t>
      </w:r>
    </w:p>
    <w:p w:rsidR="00233DB8" w:rsidRDefault="00233DB8" w:rsidP="00233DB8">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 xml:space="preserve">Структурата на разходите на проекта АЕЦ „Белене“ е подобна на други проекти за изграждане и експлоатация на ядрена мощност. </w:t>
      </w:r>
      <w:r w:rsidRPr="00DB1A1E">
        <w:rPr>
          <w:rFonts w:ascii="Times New Roman" w:hAnsi="Times New Roman" w:cs="Times New Roman"/>
          <w:sz w:val="24"/>
          <w:szCs w:val="24"/>
        </w:rPr>
        <w:t>С най-високи и близки по стойност дялове са разходите за ядрено гориво и реагенти и текущи ремонти – съответно 18</w:t>
      </w:r>
      <w:r>
        <w:rPr>
          <w:rFonts w:ascii="Times New Roman" w:hAnsi="Times New Roman" w:cs="Times New Roman"/>
          <w:sz w:val="24"/>
          <w:szCs w:val="24"/>
        </w:rPr>
        <w:t>.5</w:t>
      </w:r>
      <w:r w:rsidRPr="00DB1A1E">
        <w:rPr>
          <w:rFonts w:ascii="Times New Roman" w:hAnsi="Times New Roman" w:cs="Times New Roman"/>
          <w:sz w:val="24"/>
          <w:szCs w:val="24"/>
        </w:rPr>
        <w:t xml:space="preserve"> и 18</w:t>
      </w:r>
      <w:r>
        <w:rPr>
          <w:rFonts w:ascii="Times New Roman" w:hAnsi="Times New Roman" w:cs="Times New Roman"/>
          <w:sz w:val="24"/>
          <w:szCs w:val="24"/>
        </w:rPr>
        <w:t>.</w:t>
      </w:r>
      <w:r w:rsidRPr="00DB1A1E">
        <w:rPr>
          <w:rFonts w:ascii="Times New Roman" w:hAnsi="Times New Roman" w:cs="Times New Roman"/>
          <w:sz w:val="24"/>
          <w:szCs w:val="24"/>
        </w:rPr>
        <w:t>8%. Следват разходите за външни услуги и персонал отново с близки стойности – съответно 15</w:t>
      </w:r>
      <w:r>
        <w:rPr>
          <w:rFonts w:ascii="Times New Roman" w:hAnsi="Times New Roman" w:cs="Times New Roman"/>
          <w:sz w:val="24"/>
          <w:szCs w:val="24"/>
        </w:rPr>
        <w:t>.7</w:t>
      </w:r>
      <w:r w:rsidRPr="00DB1A1E">
        <w:rPr>
          <w:rFonts w:ascii="Times New Roman" w:hAnsi="Times New Roman" w:cs="Times New Roman"/>
          <w:sz w:val="24"/>
          <w:szCs w:val="24"/>
        </w:rPr>
        <w:t xml:space="preserve"> и 15</w:t>
      </w:r>
      <w:r>
        <w:rPr>
          <w:rFonts w:ascii="Times New Roman" w:hAnsi="Times New Roman" w:cs="Times New Roman"/>
          <w:sz w:val="24"/>
          <w:szCs w:val="24"/>
        </w:rPr>
        <w:t>.</w:t>
      </w:r>
      <w:r w:rsidRPr="00DB1A1E">
        <w:rPr>
          <w:rFonts w:ascii="Times New Roman" w:hAnsi="Times New Roman" w:cs="Times New Roman"/>
          <w:sz w:val="24"/>
          <w:szCs w:val="24"/>
        </w:rPr>
        <w:t xml:space="preserve">4%. (вж. фиг. </w:t>
      </w:r>
      <w:r w:rsidRPr="00DB1A1E">
        <w:rPr>
          <w:rFonts w:ascii="Times New Roman" w:hAnsi="Times New Roman" w:cs="Times New Roman"/>
          <w:sz w:val="24"/>
          <w:szCs w:val="24"/>
          <w:lang w:val="en-US"/>
        </w:rPr>
        <w:t>V.</w:t>
      </w:r>
      <w:r w:rsidRPr="00DB1A1E">
        <w:rPr>
          <w:rFonts w:ascii="Times New Roman" w:hAnsi="Times New Roman" w:cs="Times New Roman"/>
          <w:sz w:val="24"/>
          <w:szCs w:val="24"/>
        </w:rPr>
        <w:t>8).</w:t>
      </w:r>
    </w:p>
    <w:p w:rsidR="00233DB8" w:rsidRPr="00950BDF" w:rsidRDefault="00233DB8" w:rsidP="00233DB8">
      <w:pPr>
        <w:spacing w:before="120" w:after="120" w:line="240" w:lineRule="auto"/>
        <w:jc w:val="both"/>
        <w:rPr>
          <w:rFonts w:ascii="Times New Roman" w:hAnsi="Times New Roman" w:cs="Times New Roman"/>
          <w:sz w:val="24"/>
          <w:szCs w:val="24"/>
        </w:rPr>
      </w:pPr>
    </w:p>
    <w:p w:rsidR="00233DB8" w:rsidRPr="00950BDF" w:rsidRDefault="00233DB8" w:rsidP="00E44C19">
      <w:pPr>
        <w:spacing w:before="120" w:after="120" w:line="240" w:lineRule="auto"/>
        <w:jc w:val="both"/>
        <w:rPr>
          <w:rFonts w:ascii="Times New Roman" w:hAnsi="Times New Roman" w:cs="Times New Roman"/>
          <w:sz w:val="24"/>
          <w:szCs w:val="24"/>
        </w:rPr>
      </w:pPr>
    </w:p>
    <w:p w:rsidR="00950BDF" w:rsidRPr="00965B20" w:rsidRDefault="00965B20" w:rsidP="00965B20">
      <w:pPr>
        <w:pStyle w:val="Caption"/>
        <w:rPr>
          <w:rFonts w:ascii="Times New Roman" w:hAnsi="Times New Roman"/>
          <w:szCs w:val="24"/>
        </w:rPr>
      </w:pPr>
      <w:bookmarkStart w:id="140" w:name="_Toc491990981"/>
      <w:bookmarkStart w:id="141" w:name="_Toc491994416"/>
      <w:bookmarkStart w:id="142" w:name="_Toc493240907"/>
      <w:r w:rsidRPr="00965B20">
        <w:rPr>
          <w:rFonts w:hint="eastAsia"/>
        </w:rPr>
        <w:lastRenderedPageBreak/>
        <w:t>Таблица</w:t>
      </w:r>
      <w:r w:rsidRPr="00965B20">
        <w:t xml:space="preserve"> V.</w:t>
      </w:r>
      <w:r w:rsidR="0097530B">
        <w:fldChar w:fldCharType="begin"/>
      </w:r>
      <w:r w:rsidR="00042F89">
        <w:instrText xml:space="preserve"> SEQ Таблица_V. \* ARABIC </w:instrText>
      </w:r>
      <w:r w:rsidR="0097530B">
        <w:fldChar w:fldCharType="separate"/>
      </w:r>
      <w:r w:rsidR="00F44EBF">
        <w:rPr>
          <w:noProof/>
        </w:rPr>
        <w:t>11</w:t>
      </w:r>
      <w:r w:rsidR="0097530B">
        <w:rPr>
          <w:noProof/>
        </w:rPr>
        <w:fldChar w:fldCharType="end"/>
      </w:r>
      <w:r w:rsidRPr="00965B20">
        <w:rPr>
          <w:rFonts w:asciiTheme="minorHAnsi" w:hAnsiTheme="minorHAnsi"/>
        </w:rPr>
        <w:t xml:space="preserve">. </w:t>
      </w:r>
      <w:r w:rsidR="00950BDF" w:rsidRPr="00965B20">
        <w:rPr>
          <w:rFonts w:ascii="Times New Roman" w:hAnsi="Times New Roman"/>
          <w:szCs w:val="24"/>
        </w:rPr>
        <w:t>Оперативни средногодишни разходи за периода 2027-2047 г.</w:t>
      </w:r>
      <w:bookmarkEnd w:id="140"/>
      <w:bookmarkEnd w:id="141"/>
      <w:bookmarkEnd w:id="14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68"/>
        <w:gridCol w:w="976"/>
      </w:tblGrid>
      <w:tr w:rsidR="00950BDF" w:rsidRPr="006B3599" w:rsidTr="00641D24">
        <w:trPr>
          <w:jc w:val="center"/>
        </w:trPr>
        <w:tc>
          <w:tcPr>
            <w:tcW w:w="0" w:type="auto"/>
            <w:tcBorders>
              <w:top w:val="single" w:sz="12" w:space="0" w:color="auto"/>
              <w:bottom w:val="single" w:sz="4" w:space="0" w:color="auto"/>
              <w:right w:val="single" w:sz="12" w:space="0" w:color="auto"/>
            </w:tcBorders>
            <w:shd w:val="clear" w:color="auto" w:fill="E7E6E6"/>
            <w:vAlign w:val="bottom"/>
          </w:tcPr>
          <w:p w:rsidR="00950BDF" w:rsidRPr="006B3599" w:rsidRDefault="00950BDF" w:rsidP="00E44C19">
            <w:pPr>
              <w:spacing w:after="0" w:line="240" w:lineRule="auto"/>
              <w:jc w:val="center"/>
              <w:rPr>
                <w:rFonts w:ascii="Times New Roman" w:eastAsia="Times New Roman" w:hAnsi="Times New Roman" w:cs="Times New Roman"/>
                <w:b/>
                <w:bCs/>
                <w:color w:val="000000"/>
                <w:sz w:val="20"/>
                <w:szCs w:val="24"/>
              </w:rPr>
            </w:pPr>
            <w:r w:rsidRPr="006B3599">
              <w:rPr>
                <w:rFonts w:ascii="Times New Roman" w:eastAsia="Times New Roman" w:hAnsi="Times New Roman" w:cs="Times New Roman"/>
                <w:b/>
                <w:bCs/>
                <w:color w:val="000000"/>
                <w:sz w:val="20"/>
                <w:szCs w:val="24"/>
              </w:rPr>
              <w:t>Вид разходи</w:t>
            </w:r>
          </w:p>
        </w:tc>
        <w:tc>
          <w:tcPr>
            <w:tcW w:w="0" w:type="auto"/>
            <w:tcBorders>
              <w:left w:val="single" w:sz="12" w:space="0" w:color="auto"/>
            </w:tcBorders>
            <w:shd w:val="clear" w:color="auto" w:fill="E7E6E6"/>
            <w:noWrap/>
            <w:vAlign w:val="bottom"/>
          </w:tcPr>
          <w:p w:rsidR="00950BDF" w:rsidRPr="006B3599" w:rsidRDefault="00950BDF" w:rsidP="00E44C19">
            <w:pPr>
              <w:spacing w:after="0" w:line="240" w:lineRule="auto"/>
              <w:jc w:val="center"/>
              <w:rPr>
                <w:rFonts w:ascii="Times New Roman" w:eastAsia="Times New Roman" w:hAnsi="Times New Roman" w:cs="Times New Roman"/>
                <w:b/>
                <w:bCs/>
                <w:color w:val="000000"/>
                <w:sz w:val="20"/>
                <w:szCs w:val="24"/>
              </w:rPr>
            </w:pPr>
            <w:r w:rsidRPr="006B3599">
              <w:rPr>
                <w:rFonts w:ascii="Times New Roman" w:eastAsia="Times New Roman" w:hAnsi="Times New Roman" w:cs="Times New Roman"/>
                <w:b/>
                <w:bCs/>
                <w:color w:val="000000"/>
                <w:sz w:val="20"/>
                <w:szCs w:val="24"/>
              </w:rPr>
              <w:t>хил. евро</w:t>
            </w:r>
          </w:p>
        </w:tc>
      </w:tr>
      <w:tr w:rsidR="00950BDF" w:rsidRPr="006B3599" w:rsidTr="00641D24">
        <w:trPr>
          <w:jc w:val="center"/>
        </w:trPr>
        <w:tc>
          <w:tcPr>
            <w:tcW w:w="0" w:type="auto"/>
            <w:tcBorders>
              <w:top w:val="single" w:sz="4" w:space="0" w:color="auto"/>
              <w:bottom w:val="single" w:sz="4" w:space="0" w:color="auto"/>
              <w:right w:val="single" w:sz="12" w:space="0" w:color="auto"/>
            </w:tcBorders>
            <w:shd w:val="clear" w:color="auto" w:fill="auto"/>
            <w:vAlign w:val="bottom"/>
            <w:hideMark/>
          </w:tcPr>
          <w:p w:rsidR="00950BDF" w:rsidRPr="006B3599" w:rsidRDefault="006B3599" w:rsidP="00E44C19">
            <w:pPr>
              <w:spacing w:after="0" w:line="240" w:lineRule="auto"/>
              <w:rPr>
                <w:rFonts w:ascii="Times New Roman" w:eastAsia="Times New Roman" w:hAnsi="Times New Roman" w:cs="Times New Roman"/>
                <w:bCs/>
                <w:color w:val="000000"/>
                <w:sz w:val="20"/>
                <w:szCs w:val="24"/>
              </w:rPr>
            </w:pPr>
            <w:r w:rsidRPr="006B3599">
              <w:rPr>
                <w:rFonts w:ascii="Times New Roman" w:eastAsia="Times New Roman" w:hAnsi="Times New Roman" w:cs="Times New Roman"/>
                <w:bCs/>
                <w:color w:val="000000"/>
                <w:sz w:val="20"/>
                <w:szCs w:val="24"/>
              </w:rPr>
              <w:t>П</w:t>
            </w:r>
            <w:r w:rsidR="00950BDF" w:rsidRPr="006B3599">
              <w:rPr>
                <w:rFonts w:ascii="Times New Roman" w:eastAsia="Times New Roman" w:hAnsi="Times New Roman" w:cs="Times New Roman"/>
                <w:bCs/>
                <w:color w:val="000000"/>
                <w:sz w:val="20"/>
                <w:szCs w:val="24"/>
              </w:rPr>
              <w:t xml:space="preserve">ерсонал </w:t>
            </w:r>
          </w:p>
        </w:tc>
        <w:tc>
          <w:tcPr>
            <w:tcW w:w="0" w:type="auto"/>
            <w:tcBorders>
              <w:left w:val="single" w:sz="12" w:space="0" w:color="auto"/>
            </w:tcBorders>
            <w:shd w:val="clear" w:color="auto" w:fill="auto"/>
            <w:noWrap/>
            <w:vAlign w:val="bottom"/>
          </w:tcPr>
          <w:p w:rsidR="00950BDF" w:rsidRPr="006B3599" w:rsidRDefault="00950BDF" w:rsidP="00E44C19">
            <w:pPr>
              <w:spacing w:after="0" w:line="240" w:lineRule="auto"/>
              <w:jc w:val="right"/>
              <w:rPr>
                <w:rFonts w:ascii="Times New Roman" w:hAnsi="Times New Roman" w:cs="Times New Roman"/>
                <w:bCs/>
                <w:color w:val="000000"/>
                <w:sz w:val="20"/>
                <w:szCs w:val="24"/>
              </w:rPr>
            </w:pPr>
            <w:r w:rsidRPr="006B3599">
              <w:rPr>
                <w:rFonts w:ascii="Times New Roman" w:hAnsi="Times New Roman" w:cs="Times New Roman"/>
                <w:color w:val="000000"/>
                <w:sz w:val="20"/>
                <w:szCs w:val="24"/>
              </w:rPr>
              <w:t>63 368</w:t>
            </w:r>
          </w:p>
        </w:tc>
      </w:tr>
      <w:tr w:rsidR="00950BDF" w:rsidRPr="006B3599" w:rsidTr="00641D24">
        <w:trPr>
          <w:jc w:val="center"/>
        </w:trPr>
        <w:tc>
          <w:tcPr>
            <w:tcW w:w="0" w:type="auto"/>
            <w:tcBorders>
              <w:top w:val="single" w:sz="4" w:space="0" w:color="auto"/>
              <w:bottom w:val="single" w:sz="4" w:space="0" w:color="auto"/>
              <w:right w:val="single" w:sz="12" w:space="0" w:color="auto"/>
            </w:tcBorders>
            <w:shd w:val="clear" w:color="auto" w:fill="auto"/>
            <w:vAlign w:val="bottom"/>
            <w:hideMark/>
          </w:tcPr>
          <w:p w:rsidR="00950BDF" w:rsidRPr="006B3599" w:rsidRDefault="006B3599" w:rsidP="00E44C19">
            <w:pPr>
              <w:spacing w:after="0" w:line="240" w:lineRule="auto"/>
              <w:rPr>
                <w:rFonts w:ascii="Times New Roman" w:eastAsia="Times New Roman" w:hAnsi="Times New Roman" w:cs="Times New Roman"/>
                <w:bCs/>
                <w:color w:val="000000"/>
                <w:sz w:val="20"/>
                <w:szCs w:val="24"/>
              </w:rPr>
            </w:pPr>
            <w:r w:rsidRPr="006B3599">
              <w:rPr>
                <w:rFonts w:ascii="Times New Roman" w:eastAsia="Times New Roman" w:hAnsi="Times New Roman" w:cs="Times New Roman"/>
                <w:bCs/>
                <w:color w:val="000000"/>
                <w:sz w:val="20"/>
                <w:szCs w:val="24"/>
              </w:rPr>
              <w:t>Я</w:t>
            </w:r>
            <w:r w:rsidR="00950BDF" w:rsidRPr="006B3599">
              <w:rPr>
                <w:rFonts w:ascii="Times New Roman" w:eastAsia="Times New Roman" w:hAnsi="Times New Roman" w:cs="Times New Roman"/>
                <w:bCs/>
                <w:color w:val="000000"/>
                <w:sz w:val="20"/>
                <w:szCs w:val="24"/>
              </w:rPr>
              <w:t>дрено гориво и реагенти</w:t>
            </w:r>
          </w:p>
        </w:tc>
        <w:tc>
          <w:tcPr>
            <w:tcW w:w="0" w:type="auto"/>
            <w:tcBorders>
              <w:left w:val="single" w:sz="12" w:space="0" w:color="auto"/>
            </w:tcBorders>
            <w:shd w:val="clear" w:color="auto" w:fill="auto"/>
            <w:noWrap/>
            <w:vAlign w:val="bottom"/>
          </w:tcPr>
          <w:p w:rsidR="00950BDF" w:rsidRPr="006B3599" w:rsidRDefault="00950BDF" w:rsidP="00E44C19">
            <w:pPr>
              <w:spacing w:after="0" w:line="240" w:lineRule="auto"/>
              <w:jc w:val="right"/>
              <w:rPr>
                <w:rFonts w:ascii="Times New Roman" w:hAnsi="Times New Roman" w:cs="Times New Roman"/>
                <w:bCs/>
                <w:color w:val="000000"/>
                <w:sz w:val="20"/>
                <w:szCs w:val="24"/>
              </w:rPr>
            </w:pPr>
            <w:r w:rsidRPr="006B3599">
              <w:rPr>
                <w:rFonts w:ascii="Times New Roman" w:hAnsi="Times New Roman" w:cs="Times New Roman"/>
                <w:color w:val="000000"/>
                <w:sz w:val="20"/>
                <w:szCs w:val="24"/>
              </w:rPr>
              <w:t>75 954</w:t>
            </w:r>
          </w:p>
        </w:tc>
      </w:tr>
      <w:tr w:rsidR="00950BDF" w:rsidRPr="006B3599" w:rsidTr="00641D24">
        <w:trPr>
          <w:jc w:val="center"/>
        </w:trPr>
        <w:tc>
          <w:tcPr>
            <w:tcW w:w="0" w:type="auto"/>
            <w:tcBorders>
              <w:top w:val="single" w:sz="4" w:space="0" w:color="auto"/>
              <w:bottom w:val="single" w:sz="4" w:space="0" w:color="auto"/>
              <w:right w:val="single" w:sz="12" w:space="0" w:color="auto"/>
            </w:tcBorders>
            <w:shd w:val="clear" w:color="auto" w:fill="auto"/>
            <w:vAlign w:val="bottom"/>
            <w:hideMark/>
          </w:tcPr>
          <w:p w:rsidR="00950BDF" w:rsidRPr="006B3599" w:rsidRDefault="006B3599" w:rsidP="00E44C19">
            <w:pPr>
              <w:spacing w:after="0" w:line="240" w:lineRule="auto"/>
              <w:rPr>
                <w:rFonts w:ascii="Times New Roman" w:eastAsia="Times New Roman" w:hAnsi="Times New Roman" w:cs="Times New Roman"/>
                <w:bCs/>
                <w:color w:val="000000"/>
                <w:sz w:val="20"/>
                <w:szCs w:val="24"/>
              </w:rPr>
            </w:pPr>
            <w:r w:rsidRPr="006B3599">
              <w:rPr>
                <w:rFonts w:ascii="Times New Roman" w:eastAsia="Times New Roman" w:hAnsi="Times New Roman" w:cs="Times New Roman"/>
                <w:bCs/>
                <w:color w:val="000000"/>
                <w:sz w:val="20"/>
                <w:szCs w:val="24"/>
              </w:rPr>
              <w:t>В</w:t>
            </w:r>
            <w:r w:rsidR="00950BDF" w:rsidRPr="006B3599">
              <w:rPr>
                <w:rFonts w:ascii="Times New Roman" w:eastAsia="Times New Roman" w:hAnsi="Times New Roman" w:cs="Times New Roman"/>
                <w:bCs/>
                <w:color w:val="000000"/>
                <w:sz w:val="20"/>
                <w:szCs w:val="24"/>
              </w:rPr>
              <w:t>одовземане и водоползване</w:t>
            </w:r>
          </w:p>
        </w:tc>
        <w:tc>
          <w:tcPr>
            <w:tcW w:w="0" w:type="auto"/>
            <w:tcBorders>
              <w:left w:val="single" w:sz="12" w:space="0" w:color="auto"/>
            </w:tcBorders>
            <w:shd w:val="clear" w:color="auto" w:fill="auto"/>
            <w:noWrap/>
            <w:vAlign w:val="bottom"/>
          </w:tcPr>
          <w:p w:rsidR="00950BDF" w:rsidRPr="006B3599" w:rsidRDefault="00950BDF" w:rsidP="00E44C19">
            <w:pPr>
              <w:spacing w:after="0" w:line="240" w:lineRule="auto"/>
              <w:jc w:val="right"/>
              <w:rPr>
                <w:rFonts w:ascii="Times New Roman" w:hAnsi="Times New Roman" w:cs="Times New Roman"/>
                <w:bCs/>
                <w:color w:val="000000"/>
                <w:sz w:val="20"/>
                <w:szCs w:val="24"/>
              </w:rPr>
            </w:pPr>
            <w:r w:rsidRPr="006B3599">
              <w:rPr>
                <w:rFonts w:ascii="Times New Roman" w:hAnsi="Times New Roman" w:cs="Times New Roman"/>
                <w:color w:val="000000"/>
                <w:sz w:val="20"/>
                <w:szCs w:val="24"/>
              </w:rPr>
              <w:t>6 986</w:t>
            </w:r>
          </w:p>
        </w:tc>
      </w:tr>
      <w:tr w:rsidR="00965B20" w:rsidRPr="006B3599" w:rsidTr="00641D24">
        <w:trPr>
          <w:jc w:val="center"/>
        </w:trPr>
        <w:tc>
          <w:tcPr>
            <w:tcW w:w="0" w:type="auto"/>
            <w:tcBorders>
              <w:top w:val="single" w:sz="4" w:space="0" w:color="auto"/>
              <w:bottom w:val="single" w:sz="4" w:space="0" w:color="auto"/>
              <w:right w:val="single" w:sz="12" w:space="0" w:color="auto"/>
            </w:tcBorders>
            <w:shd w:val="clear" w:color="auto" w:fill="auto"/>
            <w:vAlign w:val="bottom"/>
            <w:hideMark/>
          </w:tcPr>
          <w:p w:rsidR="00965B20" w:rsidRPr="006B3599" w:rsidRDefault="00965B20" w:rsidP="00E44C19">
            <w:pPr>
              <w:spacing w:after="0" w:line="240" w:lineRule="auto"/>
              <w:rPr>
                <w:rFonts w:ascii="Times New Roman" w:eastAsia="Times New Roman" w:hAnsi="Times New Roman" w:cs="Times New Roman"/>
                <w:bCs/>
                <w:color w:val="000000"/>
                <w:sz w:val="20"/>
                <w:szCs w:val="24"/>
              </w:rPr>
            </w:pPr>
            <w:r w:rsidRPr="006B3599">
              <w:rPr>
                <w:rFonts w:ascii="Times New Roman" w:eastAsia="Times New Roman" w:hAnsi="Times New Roman" w:cs="Times New Roman"/>
                <w:bCs/>
                <w:color w:val="000000"/>
                <w:sz w:val="20"/>
                <w:szCs w:val="24"/>
              </w:rPr>
              <w:t xml:space="preserve">Материали (без ядрено гориво) </w:t>
            </w:r>
          </w:p>
        </w:tc>
        <w:tc>
          <w:tcPr>
            <w:tcW w:w="0" w:type="auto"/>
            <w:tcBorders>
              <w:left w:val="single" w:sz="12" w:space="0" w:color="auto"/>
            </w:tcBorders>
            <w:shd w:val="clear" w:color="auto" w:fill="auto"/>
            <w:noWrap/>
            <w:vAlign w:val="bottom"/>
          </w:tcPr>
          <w:p w:rsidR="00965B20" w:rsidRPr="00D5298D" w:rsidRDefault="00965B20" w:rsidP="00E44C19">
            <w:pPr>
              <w:spacing w:after="0" w:line="240" w:lineRule="auto"/>
              <w:jc w:val="right"/>
              <w:rPr>
                <w:rFonts w:ascii="Times New Roman" w:hAnsi="Times New Roman" w:cs="Times New Roman"/>
                <w:bCs/>
                <w:color w:val="000000"/>
                <w:sz w:val="20"/>
                <w:szCs w:val="24"/>
              </w:rPr>
            </w:pPr>
            <w:r w:rsidRPr="00DB1A1E">
              <w:rPr>
                <w:rFonts w:ascii="Times New Roman" w:hAnsi="Times New Roman" w:cs="Times New Roman"/>
                <w:color w:val="000000"/>
                <w:sz w:val="20"/>
                <w:szCs w:val="24"/>
              </w:rPr>
              <w:t>23 649</w:t>
            </w:r>
          </w:p>
        </w:tc>
      </w:tr>
      <w:tr w:rsidR="00965B20" w:rsidRPr="006B3599" w:rsidTr="00641D24">
        <w:trPr>
          <w:jc w:val="center"/>
        </w:trPr>
        <w:tc>
          <w:tcPr>
            <w:tcW w:w="0" w:type="auto"/>
            <w:tcBorders>
              <w:top w:val="single" w:sz="4" w:space="0" w:color="auto"/>
              <w:bottom w:val="single" w:sz="4" w:space="0" w:color="auto"/>
              <w:right w:val="single" w:sz="12" w:space="0" w:color="auto"/>
            </w:tcBorders>
            <w:shd w:val="clear" w:color="auto" w:fill="auto"/>
            <w:vAlign w:val="bottom"/>
            <w:hideMark/>
          </w:tcPr>
          <w:p w:rsidR="00965B20" w:rsidRPr="006B3599" w:rsidRDefault="00965B20" w:rsidP="00E44C19">
            <w:pPr>
              <w:spacing w:after="0" w:line="240" w:lineRule="auto"/>
              <w:rPr>
                <w:rFonts w:ascii="Times New Roman" w:eastAsia="Times New Roman" w:hAnsi="Times New Roman" w:cs="Times New Roman"/>
                <w:bCs/>
                <w:color w:val="000000"/>
                <w:sz w:val="20"/>
                <w:szCs w:val="24"/>
              </w:rPr>
            </w:pPr>
            <w:r w:rsidRPr="006B3599">
              <w:rPr>
                <w:rFonts w:ascii="Times New Roman" w:eastAsia="Times New Roman" w:hAnsi="Times New Roman" w:cs="Times New Roman"/>
                <w:bCs/>
                <w:color w:val="000000"/>
                <w:sz w:val="20"/>
                <w:szCs w:val="24"/>
              </w:rPr>
              <w:t>Текущи ремонти</w:t>
            </w:r>
          </w:p>
        </w:tc>
        <w:tc>
          <w:tcPr>
            <w:tcW w:w="0" w:type="auto"/>
            <w:tcBorders>
              <w:left w:val="single" w:sz="12" w:space="0" w:color="auto"/>
            </w:tcBorders>
            <w:shd w:val="clear" w:color="auto" w:fill="auto"/>
            <w:noWrap/>
            <w:vAlign w:val="bottom"/>
          </w:tcPr>
          <w:p w:rsidR="00965B20" w:rsidRPr="00D5298D" w:rsidRDefault="00965B20" w:rsidP="00E44C19">
            <w:pPr>
              <w:spacing w:after="0" w:line="240" w:lineRule="auto"/>
              <w:jc w:val="right"/>
              <w:rPr>
                <w:rFonts w:ascii="Times New Roman" w:hAnsi="Times New Roman" w:cs="Times New Roman"/>
                <w:bCs/>
                <w:color w:val="000000"/>
                <w:sz w:val="20"/>
                <w:szCs w:val="24"/>
              </w:rPr>
            </w:pPr>
            <w:r w:rsidRPr="00DB1A1E">
              <w:rPr>
                <w:rFonts w:ascii="Times New Roman" w:hAnsi="Times New Roman" w:cs="Times New Roman"/>
                <w:color w:val="000000"/>
                <w:sz w:val="20"/>
                <w:szCs w:val="24"/>
              </w:rPr>
              <w:t>77 558</w:t>
            </w:r>
          </w:p>
        </w:tc>
      </w:tr>
      <w:tr w:rsidR="00965B20" w:rsidRPr="006B3599" w:rsidTr="00641D24">
        <w:trPr>
          <w:jc w:val="center"/>
        </w:trPr>
        <w:tc>
          <w:tcPr>
            <w:tcW w:w="0" w:type="auto"/>
            <w:tcBorders>
              <w:top w:val="single" w:sz="4" w:space="0" w:color="auto"/>
              <w:bottom w:val="single" w:sz="4" w:space="0" w:color="auto"/>
              <w:right w:val="single" w:sz="12" w:space="0" w:color="auto"/>
            </w:tcBorders>
            <w:shd w:val="clear" w:color="auto" w:fill="auto"/>
            <w:vAlign w:val="bottom"/>
            <w:hideMark/>
          </w:tcPr>
          <w:p w:rsidR="00965B20" w:rsidRPr="006B3599" w:rsidRDefault="00965B20" w:rsidP="00E44C19">
            <w:pPr>
              <w:spacing w:after="0" w:line="240" w:lineRule="auto"/>
              <w:rPr>
                <w:rFonts w:ascii="Times New Roman" w:eastAsia="Times New Roman" w:hAnsi="Times New Roman" w:cs="Times New Roman"/>
                <w:bCs/>
                <w:color w:val="000000"/>
                <w:sz w:val="20"/>
                <w:szCs w:val="24"/>
              </w:rPr>
            </w:pPr>
            <w:r w:rsidRPr="006B3599">
              <w:rPr>
                <w:rFonts w:ascii="Times New Roman" w:eastAsia="Times New Roman" w:hAnsi="Times New Roman" w:cs="Times New Roman"/>
                <w:bCs/>
                <w:color w:val="000000"/>
                <w:sz w:val="20"/>
                <w:szCs w:val="24"/>
              </w:rPr>
              <w:t>Външни услуги (без водоползване и ремонти)</w:t>
            </w:r>
          </w:p>
        </w:tc>
        <w:tc>
          <w:tcPr>
            <w:tcW w:w="0" w:type="auto"/>
            <w:tcBorders>
              <w:left w:val="single" w:sz="12" w:space="0" w:color="auto"/>
            </w:tcBorders>
            <w:shd w:val="clear" w:color="auto" w:fill="auto"/>
            <w:noWrap/>
            <w:vAlign w:val="bottom"/>
          </w:tcPr>
          <w:p w:rsidR="00965B20" w:rsidRPr="00DB1A1E" w:rsidRDefault="00FC0C26" w:rsidP="00FC0C26">
            <w:pPr>
              <w:spacing w:after="0" w:line="240" w:lineRule="auto"/>
              <w:jc w:val="right"/>
              <w:rPr>
                <w:rFonts w:ascii="Times New Roman" w:hAnsi="Times New Roman" w:cs="Times New Roman"/>
                <w:color w:val="000000"/>
                <w:sz w:val="20"/>
                <w:szCs w:val="24"/>
              </w:rPr>
            </w:pPr>
            <w:r w:rsidRPr="00DB1A1E">
              <w:rPr>
                <w:rFonts w:ascii="Times New Roman" w:hAnsi="Times New Roman" w:cs="Times New Roman"/>
                <w:color w:val="000000"/>
                <w:sz w:val="20"/>
                <w:szCs w:val="24"/>
              </w:rPr>
              <w:t>64 458</w:t>
            </w:r>
          </w:p>
        </w:tc>
      </w:tr>
      <w:tr w:rsidR="00950BDF" w:rsidRPr="006B3599" w:rsidTr="00641D24">
        <w:trPr>
          <w:jc w:val="center"/>
        </w:trPr>
        <w:tc>
          <w:tcPr>
            <w:tcW w:w="0" w:type="auto"/>
            <w:tcBorders>
              <w:top w:val="single" w:sz="4" w:space="0" w:color="auto"/>
              <w:bottom w:val="single" w:sz="4" w:space="0" w:color="auto"/>
              <w:right w:val="single" w:sz="12" w:space="0" w:color="auto"/>
            </w:tcBorders>
            <w:shd w:val="clear" w:color="auto" w:fill="auto"/>
            <w:vAlign w:val="bottom"/>
            <w:hideMark/>
          </w:tcPr>
          <w:p w:rsidR="00950BDF" w:rsidRPr="006B3599" w:rsidRDefault="006B3599" w:rsidP="00E44C19">
            <w:pPr>
              <w:spacing w:after="0" w:line="240" w:lineRule="auto"/>
              <w:rPr>
                <w:rFonts w:ascii="Times New Roman" w:eastAsia="Times New Roman" w:hAnsi="Times New Roman" w:cs="Times New Roman"/>
                <w:bCs/>
                <w:color w:val="000000"/>
                <w:sz w:val="20"/>
                <w:szCs w:val="24"/>
              </w:rPr>
            </w:pPr>
            <w:r w:rsidRPr="006B3599">
              <w:rPr>
                <w:rFonts w:ascii="Times New Roman" w:eastAsia="Times New Roman" w:hAnsi="Times New Roman" w:cs="Times New Roman"/>
                <w:bCs/>
                <w:color w:val="000000"/>
                <w:sz w:val="20"/>
                <w:szCs w:val="24"/>
              </w:rPr>
              <w:t>З</w:t>
            </w:r>
            <w:r w:rsidR="00950BDF" w:rsidRPr="006B3599">
              <w:rPr>
                <w:rFonts w:ascii="Times New Roman" w:eastAsia="Times New Roman" w:hAnsi="Times New Roman" w:cs="Times New Roman"/>
                <w:bCs/>
                <w:color w:val="000000"/>
                <w:sz w:val="20"/>
                <w:szCs w:val="24"/>
              </w:rPr>
              <w:t>астраховка на имущество и ядрена вреда</w:t>
            </w:r>
          </w:p>
        </w:tc>
        <w:tc>
          <w:tcPr>
            <w:tcW w:w="0" w:type="auto"/>
            <w:tcBorders>
              <w:left w:val="single" w:sz="12" w:space="0" w:color="auto"/>
            </w:tcBorders>
            <w:shd w:val="clear" w:color="auto" w:fill="auto"/>
            <w:noWrap/>
            <w:vAlign w:val="bottom"/>
          </w:tcPr>
          <w:p w:rsidR="00950BDF" w:rsidRPr="00D5298D" w:rsidRDefault="00950BDF" w:rsidP="00E44C19">
            <w:pPr>
              <w:spacing w:after="0" w:line="240" w:lineRule="auto"/>
              <w:jc w:val="right"/>
              <w:rPr>
                <w:rFonts w:ascii="Times New Roman" w:hAnsi="Times New Roman" w:cs="Times New Roman"/>
                <w:bCs/>
                <w:color w:val="000000"/>
                <w:sz w:val="20"/>
                <w:szCs w:val="24"/>
              </w:rPr>
            </w:pPr>
            <w:r w:rsidRPr="00D5298D">
              <w:rPr>
                <w:rFonts w:ascii="Times New Roman" w:hAnsi="Times New Roman" w:cs="Times New Roman"/>
                <w:color w:val="000000"/>
                <w:sz w:val="20"/>
                <w:szCs w:val="24"/>
              </w:rPr>
              <w:t>13 753</w:t>
            </w:r>
          </w:p>
        </w:tc>
      </w:tr>
      <w:tr w:rsidR="00950BDF" w:rsidRPr="006B3599" w:rsidTr="00641D24">
        <w:trPr>
          <w:jc w:val="center"/>
        </w:trPr>
        <w:tc>
          <w:tcPr>
            <w:tcW w:w="0" w:type="auto"/>
            <w:tcBorders>
              <w:top w:val="single" w:sz="4" w:space="0" w:color="auto"/>
              <w:bottom w:val="single" w:sz="4" w:space="0" w:color="auto"/>
              <w:right w:val="single" w:sz="12" w:space="0" w:color="auto"/>
            </w:tcBorders>
            <w:shd w:val="clear" w:color="auto" w:fill="auto"/>
            <w:vAlign w:val="bottom"/>
          </w:tcPr>
          <w:p w:rsidR="00950BDF" w:rsidRPr="006B3599" w:rsidRDefault="00950BDF" w:rsidP="00E44C19">
            <w:pPr>
              <w:spacing w:after="0" w:line="240" w:lineRule="auto"/>
              <w:rPr>
                <w:rFonts w:ascii="Times New Roman" w:eastAsia="Times New Roman" w:hAnsi="Times New Roman" w:cs="Times New Roman"/>
                <w:bCs/>
                <w:color w:val="000000"/>
                <w:sz w:val="20"/>
                <w:szCs w:val="24"/>
              </w:rPr>
            </w:pPr>
            <w:r w:rsidRPr="006B3599">
              <w:rPr>
                <w:rFonts w:ascii="Times New Roman" w:eastAsia="Times New Roman" w:hAnsi="Times New Roman" w:cs="Times New Roman"/>
                <w:bCs/>
                <w:color w:val="000000"/>
                <w:sz w:val="20"/>
                <w:szCs w:val="24"/>
              </w:rPr>
              <w:t>РАО</w:t>
            </w:r>
          </w:p>
        </w:tc>
        <w:tc>
          <w:tcPr>
            <w:tcW w:w="0" w:type="auto"/>
            <w:tcBorders>
              <w:left w:val="single" w:sz="12" w:space="0" w:color="auto"/>
            </w:tcBorders>
            <w:shd w:val="clear" w:color="auto" w:fill="auto"/>
            <w:noWrap/>
            <w:vAlign w:val="bottom"/>
          </w:tcPr>
          <w:p w:rsidR="00950BDF" w:rsidRPr="00D5298D" w:rsidRDefault="00950BDF" w:rsidP="00E44C19">
            <w:pPr>
              <w:spacing w:after="0" w:line="240" w:lineRule="auto"/>
              <w:jc w:val="right"/>
              <w:rPr>
                <w:rFonts w:ascii="Times New Roman" w:hAnsi="Times New Roman" w:cs="Times New Roman"/>
                <w:bCs/>
                <w:color w:val="000000"/>
                <w:sz w:val="20"/>
                <w:szCs w:val="24"/>
              </w:rPr>
            </w:pPr>
            <w:r w:rsidRPr="00D5298D">
              <w:rPr>
                <w:rFonts w:ascii="Times New Roman" w:hAnsi="Times New Roman" w:cs="Times New Roman"/>
                <w:color w:val="000000"/>
                <w:sz w:val="20"/>
                <w:szCs w:val="24"/>
              </w:rPr>
              <w:t>49 622</w:t>
            </w:r>
          </w:p>
        </w:tc>
      </w:tr>
      <w:tr w:rsidR="00950BDF" w:rsidRPr="006B3599" w:rsidTr="00641D24">
        <w:trPr>
          <w:jc w:val="center"/>
        </w:trPr>
        <w:tc>
          <w:tcPr>
            <w:tcW w:w="0" w:type="auto"/>
            <w:tcBorders>
              <w:top w:val="single" w:sz="4" w:space="0" w:color="auto"/>
              <w:bottom w:val="single" w:sz="4" w:space="0" w:color="auto"/>
              <w:right w:val="single" w:sz="12" w:space="0" w:color="auto"/>
            </w:tcBorders>
            <w:shd w:val="clear" w:color="auto" w:fill="auto"/>
            <w:vAlign w:val="bottom"/>
          </w:tcPr>
          <w:p w:rsidR="00950BDF" w:rsidRPr="006B3599" w:rsidRDefault="00950BDF" w:rsidP="00E44C19">
            <w:pPr>
              <w:spacing w:after="0" w:line="240" w:lineRule="auto"/>
              <w:rPr>
                <w:rFonts w:ascii="Times New Roman" w:eastAsia="Times New Roman" w:hAnsi="Times New Roman" w:cs="Times New Roman"/>
                <w:bCs/>
                <w:color w:val="000000"/>
                <w:sz w:val="20"/>
                <w:szCs w:val="24"/>
              </w:rPr>
            </w:pPr>
            <w:r w:rsidRPr="006B3599">
              <w:rPr>
                <w:rFonts w:ascii="Times New Roman" w:eastAsia="Times New Roman" w:hAnsi="Times New Roman" w:cs="Times New Roman"/>
                <w:bCs/>
                <w:color w:val="000000"/>
                <w:sz w:val="20"/>
                <w:szCs w:val="24"/>
              </w:rPr>
              <w:t>ИЕЯС</w:t>
            </w:r>
          </w:p>
        </w:tc>
        <w:tc>
          <w:tcPr>
            <w:tcW w:w="0" w:type="auto"/>
            <w:tcBorders>
              <w:left w:val="single" w:sz="12" w:space="0" w:color="auto"/>
            </w:tcBorders>
            <w:shd w:val="clear" w:color="auto" w:fill="auto"/>
            <w:noWrap/>
            <w:vAlign w:val="bottom"/>
          </w:tcPr>
          <w:p w:rsidR="00950BDF" w:rsidRPr="00D5298D" w:rsidRDefault="00950BDF" w:rsidP="00E44C19">
            <w:pPr>
              <w:spacing w:after="0" w:line="240" w:lineRule="auto"/>
              <w:jc w:val="right"/>
              <w:rPr>
                <w:rFonts w:ascii="Times New Roman" w:hAnsi="Times New Roman" w:cs="Times New Roman"/>
                <w:bCs/>
                <w:color w:val="000000"/>
                <w:sz w:val="20"/>
                <w:szCs w:val="24"/>
              </w:rPr>
            </w:pPr>
            <w:r w:rsidRPr="00D5298D">
              <w:rPr>
                <w:rFonts w:ascii="Times New Roman" w:hAnsi="Times New Roman" w:cs="Times New Roman"/>
                <w:color w:val="000000"/>
                <w:sz w:val="20"/>
                <w:szCs w:val="24"/>
              </w:rPr>
              <w:t>36 102</w:t>
            </w:r>
          </w:p>
        </w:tc>
      </w:tr>
      <w:tr w:rsidR="00965B20" w:rsidRPr="006B3599" w:rsidTr="00641D24">
        <w:trPr>
          <w:jc w:val="center"/>
        </w:trPr>
        <w:tc>
          <w:tcPr>
            <w:tcW w:w="0" w:type="auto"/>
            <w:tcBorders>
              <w:top w:val="single" w:sz="4" w:space="0" w:color="auto"/>
              <w:bottom w:val="single" w:sz="12" w:space="0" w:color="auto"/>
              <w:right w:val="single" w:sz="12" w:space="0" w:color="auto"/>
            </w:tcBorders>
            <w:shd w:val="clear" w:color="auto" w:fill="auto"/>
            <w:vAlign w:val="bottom"/>
          </w:tcPr>
          <w:p w:rsidR="00965B20" w:rsidRPr="006B3599" w:rsidRDefault="00965B20" w:rsidP="00E44C19">
            <w:pPr>
              <w:spacing w:after="0" w:line="240" w:lineRule="auto"/>
              <w:rPr>
                <w:rFonts w:ascii="Times New Roman" w:eastAsia="Times New Roman" w:hAnsi="Times New Roman" w:cs="Times New Roman"/>
                <w:b/>
                <w:bCs/>
                <w:color w:val="000000"/>
                <w:sz w:val="20"/>
                <w:szCs w:val="24"/>
              </w:rPr>
            </w:pPr>
            <w:r w:rsidRPr="006B3599">
              <w:rPr>
                <w:rFonts w:ascii="Times New Roman" w:eastAsia="Times New Roman" w:hAnsi="Times New Roman" w:cs="Times New Roman"/>
                <w:b/>
                <w:bCs/>
                <w:color w:val="000000"/>
                <w:sz w:val="20"/>
                <w:szCs w:val="24"/>
              </w:rPr>
              <w:t>Всичко</w:t>
            </w:r>
          </w:p>
        </w:tc>
        <w:tc>
          <w:tcPr>
            <w:tcW w:w="0" w:type="auto"/>
            <w:tcBorders>
              <w:left w:val="single" w:sz="12" w:space="0" w:color="auto"/>
            </w:tcBorders>
            <w:shd w:val="clear" w:color="auto" w:fill="auto"/>
            <w:noWrap/>
            <w:vAlign w:val="bottom"/>
          </w:tcPr>
          <w:p w:rsidR="00965B20" w:rsidRPr="00DB1A1E" w:rsidRDefault="00FC0C26" w:rsidP="00FC0C26">
            <w:pPr>
              <w:spacing w:after="0" w:line="240" w:lineRule="auto"/>
              <w:jc w:val="right"/>
              <w:rPr>
                <w:rFonts w:ascii="Times New Roman" w:hAnsi="Times New Roman" w:cs="Times New Roman"/>
                <w:b/>
                <w:color w:val="000000"/>
                <w:sz w:val="20"/>
                <w:szCs w:val="24"/>
              </w:rPr>
            </w:pPr>
            <w:r w:rsidRPr="00DB1A1E">
              <w:rPr>
                <w:rFonts w:ascii="Times New Roman" w:hAnsi="Times New Roman" w:cs="Times New Roman"/>
                <w:b/>
                <w:color w:val="000000"/>
                <w:sz w:val="20"/>
                <w:szCs w:val="24"/>
              </w:rPr>
              <w:t>411 449</w:t>
            </w:r>
          </w:p>
        </w:tc>
      </w:tr>
    </w:tbl>
    <w:p w:rsidR="00950BDF" w:rsidRDefault="00950BDF" w:rsidP="00E44C19">
      <w:pPr>
        <w:spacing w:before="120" w:after="120" w:line="240" w:lineRule="auto"/>
        <w:jc w:val="center"/>
        <w:rPr>
          <w:rFonts w:ascii="Times New Roman" w:hAnsi="Times New Roman" w:cs="Times New Roman"/>
          <w:sz w:val="20"/>
          <w:szCs w:val="24"/>
        </w:rPr>
      </w:pPr>
      <w:r w:rsidRPr="00CA6AE8">
        <w:rPr>
          <w:rFonts w:ascii="Times New Roman" w:hAnsi="Times New Roman" w:cs="Times New Roman"/>
          <w:sz w:val="20"/>
          <w:szCs w:val="24"/>
        </w:rPr>
        <w:t>Източник: Съставена от авторите на основа на получени резултати от модела.</w:t>
      </w:r>
    </w:p>
    <w:p w:rsidR="00233DB8" w:rsidRDefault="00233DB8" w:rsidP="00E44C19">
      <w:pPr>
        <w:spacing w:before="120" w:after="120" w:line="240" w:lineRule="auto"/>
        <w:jc w:val="center"/>
        <w:rPr>
          <w:rFonts w:ascii="Times New Roman" w:hAnsi="Times New Roman" w:cs="Times New Roman"/>
          <w:sz w:val="20"/>
          <w:szCs w:val="24"/>
        </w:rPr>
      </w:pPr>
    </w:p>
    <w:p w:rsidR="00950BDF" w:rsidRPr="00965B20" w:rsidRDefault="00965B20" w:rsidP="00AB0E25">
      <w:pPr>
        <w:pStyle w:val="Caption"/>
        <w:keepNext/>
        <w:rPr>
          <w:rFonts w:ascii="Times New Roman" w:hAnsi="Times New Roman"/>
          <w:szCs w:val="24"/>
        </w:rPr>
      </w:pPr>
      <w:bookmarkStart w:id="143" w:name="_Toc491990997"/>
      <w:bookmarkStart w:id="144" w:name="_Toc491994434"/>
      <w:bookmarkStart w:id="145" w:name="_Toc493240924"/>
      <w:r w:rsidRPr="00DB1A1E">
        <w:rPr>
          <w:rFonts w:hint="eastAsia"/>
        </w:rPr>
        <w:t>Фигура</w:t>
      </w:r>
      <w:r w:rsidRPr="00DB1A1E">
        <w:t xml:space="preserve"> V.</w:t>
      </w:r>
      <w:r w:rsidR="0097530B">
        <w:fldChar w:fldCharType="begin"/>
      </w:r>
      <w:r w:rsidR="00042F89">
        <w:instrText xml:space="preserve"> SEQ Фигура_V. \* ARABIC </w:instrText>
      </w:r>
      <w:r w:rsidR="0097530B">
        <w:fldChar w:fldCharType="separate"/>
      </w:r>
      <w:r w:rsidR="00F44EBF">
        <w:rPr>
          <w:noProof/>
        </w:rPr>
        <w:t>8</w:t>
      </w:r>
      <w:r w:rsidR="0097530B">
        <w:rPr>
          <w:noProof/>
        </w:rPr>
        <w:fldChar w:fldCharType="end"/>
      </w:r>
      <w:r w:rsidRPr="00DB1A1E">
        <w:rPr>
          <w:rFonts w:asciiTheme="minorHAnsi" w:hAnsiTheme="minorHAnsi"/>
        </w:rPr>
        <w:t xml:space="preserve">. </w:t>
      </w:r>
      <w:r w:rsidR="00950BDF" w:rsidRPr="00DB1A1E">
        <w:rPr>
          <w:rFonts w:ascii="Times New Roman" w:hAnsi="Times New Roman"/>
          <w:szCs w:val="24"/>
        </w:rPr>
        <w:t>Структура на оперативните разходи</w:t>
      </w:r>
      <w:bookmarkEnd w:id="143"/>
      <w:bookmarkEnd w:id="144"/>
      <w:r w:rsidR="00950BDF" w:rsidRPr="00DB1A1E">
        <w:rPr>
          <w:rFonts w:ascii="Times New Roman" w:hAnsi="Times New Roman"/>
          <w:szCs w:val="24"/>
        </w:rPr>
        <w:t xml:space="preserve"> (средно за периода 2027-2087 г., %)</w:t>
      </w:r>
      <w:bookmarkEnd w:id="145"/>
    </w:p>
    <w:p w:rsidR="00950BDF" w:rsidRPr="00950BDF" w:rsidRDefault="00FC0C26" w:rsidP="00E44C19">
      <w:pPr>
        <w:spacing w:before="120" w:after="120" w:line="240" w:lineRule="auto"/>
        <w:jc w:val="center"/>
        <w:rPr>
          <w:rFonts w:ascii="Times New Roman" w:hAnsi="Times New Roman" w:cs="Times New Roman"/>
          <w:i/>
          <w:sz w:val="24"/>
          <w:szCs w:val="24"/>
        </w:rPr>
      </w:pPr>
      <w:r>
        <w:rPr>
          <w:noProof/>
        </w:rPr>
        <w:drawing>
          <wp:inline distT="0" distB="0" distL="0" distR="0">
            <wp:extent cx="5760720" cy="3528946"/>
            <wp:effectExtent l="0" t="0" r="11430"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50BDF" w:rsidRDefault="00950BDF" w:rsidP="00E44C19">
      <w:pPr>
        <w:spacing w:before="120" w:after="120" w:line="240" w:lineRule="auto"/>
        <w:jc w:val="center"/>
        <w:rPr>
          <w:rFonts w:ascii="Times New Roman" w:hAnsi="Times New Roman" w:cs="Times New Roman"/>
          <w:sz w:val="20"/>
          <w:szCs w:val="24"/>
        </w:rPr>
      </w:pPr>
      <w:r w:rsidRPr="00CA6AE8">
        <w:rPr>
          <w:rFonts w:ascii="Times New Roman" w:hAnsi="Times New Roman" w:cs="Times New Roman"/>
          <w:sz w:val="20"/>
          <w:szCs w:val="24"/>
        </w:rPr>
        <w:t>Източник: Съставена от авторите на основа на получени резултати от модела.</w:t>
      </w:r>
    </w:p>
    <w:p w:rsidR="00233DB8" w:rsidRPr="00CA6AE8" w:rsidRDefault="00233DB8" w:rsidP="00E44C19">
      <w:pPr>
        <w:spacing w:before="120" w:after="120" w:line="240" w:lineRule="auto"/>
        <w:jc w:val="center"/>
        <w:rPr>
          <w:rFonts w:ascii="Times New Roman" w:hAnsi="Times New Roman" w:cs="Times New Roman"/>
          <w:sz w:val="20"/>
          <w:szCs w:val="24"/>
        </w:rPr>
      </w:pP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В теорията и практиката на финансовите анализи в областта на ядрената енергетика съществуват няколко основни еталонни сравнения по от</w:t>
      </w:r>
      <w:r w:rsidR="006B3599">
        <w:rPr>
          <w:rFonts w:ascii="Times New Roman" w:hAnsi="Times New Roman" w:cs="Times New Roman"/>
          <w:sz w:val="24"/>
          <w:szCs w:val="24"/>
        </w:rPr>
        <w:t>ношение на оперативните разходи</w:t>
      </w:r>
      <w:r w:rsidRPr="00950BDF">
        <w:rPr>
          <w:rFonts w:ascii="Times New Roman" w:hAnsi="Times New Roman" w:cs="Times New Roman"/>
          <w:sz w:val="24"/>
          <w:szCs w:val="24"/>
        </w:rPr>
        <w:t>.</w:t>
      </w:r>
    </w:p>
    <w:p w:rsidR="00950BDF" w:rsidRPr="00950BDF" w:rsidRDefault="00950BDF" w:rsidP="00E44C19">
      <w:pPr>
        <w:spacing w:before="120" w:after="120" w:line="240" w:lineRule="auto"/>
        <w:jc w:val="both"/>
        <w:rPr>
          <w:rFonts w:ascii="Times New Roman" w:hAnsi="Times New Roman" w:cs="Times New Roman"/>
          <w:i/>
          <w:sz w:val="24"/>
          <w:szCs w:val="24"/>
        </w:rPr>
      </w:pPr>
    </w:p>
    <w:p w:rsidR="00950BDF" w:rsidRPr="006B3599" w:rsidRDefault="00950BDF" w:rsidP="00E44C19">
      <w:pPr>
        <w:spacing w:before="120" w:after="120" w:line="240" w:lineRule="auto"/>
        <w:jc w:val="both"/>
        <w:rPr>
          <w:rFonts w:ascii="Times New Roman" w:hAnsi="Times New Roman" w:cs="Times New Roman"/>
          <w:sz w:val="24"/>
          <w:szCs w:val="24"/>
          <w:u w:val="single"/>
        </w:rPr>
      </w:pPr>
      <w:r w:rsidRPr="006B3599">
        <w:rPr>
          <w:rFonts w:ascii="Times New Roman" w:hAnsi="Times New Roman" w:cs="Times New Roman"/>
          <w:sz w:val="24"/>
          <w:szCs w:val="24"/>
          <w:u w:val="single"/>
        </w:rPr>
        <w:t>Оперативни разходи и разходи за поддръжка</w:t>
      </w:r>
      <w:r w:rsidR="006B3599">
        <w:rPr>
          <w:rFonts w:ascii="Times New Roman" w:hAnsi="Times New Roman" w:cs="Times New Roman"/>
          <w:sz w:val="24"/>
          <w:szCs w:val="24"/>
          <w:u w:val="single"/>
        </w:rPr>
        <w:t>,</w:t>
      </w:r>
      <w:r w:rsidRPr="006B3599">
        <w:rPr>
          <w:rFonts w:ascii="Times New Roman" w:hAnsi="Times New Roman" w:cs="Times New Roman"/>
          <w:sz w:val="24"/>
          <w:szCs w:val="24"/>
          <w:u w:val="single"/>
        </w:rPr>
        <w:t xml:space="preserve"> отнесени към нетно произведената електроенергия </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Оперативните разходи и разходите за поддръжка включват разходите, необходими за ежедневната експлоатация на централата, като разходи за персонал, материали (без ядрено гориво), текущи ремонти, външни услуги и т.н. Еталонните им стойности</w:t>
      </w:r>
      <w:r w:rsidR="006B3599">
        <w:rPr>
          <w:rFonts w:ascii="Times New Roman" w:hAnsi="Times New Roman" w:cs="Times New Roman"/>
          <w:sz w:val="24"/>
          <w:szCs w:val="24"/>
        </w:rPr>
        <w:t>,</w:t>
      </w:r>
      <w:r w:rsidRPr="00950BDF">
        <w:rPr>
          <w:rFonts w:ascii="Times New Roman" w:hAnsi="Times New Roman" w:cs="Times New Roman"/>
          <w:sz w:val="24"/>
          <w:szCs w:val="24"/>
        </w:rPr>
        <w:t xml:space="preserve"> </w:t>
      </w:r>
      <w:r w:rsidRPr="00950BDF">
        <w:rPr>
          <w:rFonts w:ascii="Times New Roman" w:hAnsi="Times New Roman" w:cs="Times New Roman"/>
          <w:sz w:val="24"/>
          <w:szCs w:val="24"/>
        </w:rPr>
        <w:lastRenderedPageBreak/>
        <w:t>отнесени към единица нетно произведената електроенергия</w:t>
      </w:r>
      <w:r w:rsidR="006B3599">
        <w:rPr>
          <w:rFonts w:ascii="Times New Roman" w:hAnsi="Times New Roman" w:cs="Times New Roman"/>
          <w:sz w:val="24"/>
          <w:szCs w:val="24"/>
        </w:rPr>
        <w:t>,</w:t>
      </w:r>
      <w:r w:rsidRPr="00950BDF">
        <w:rPr>
          <w:rFonts w:ascii="Times New Roman" w:hAnsi="Times New Roman" w:cs="Times New Roman"/>
          <w:sz w:val="24"/>
          <w:szCs w:val="24"/>
        </w:rPr>
        <w:t xml:space="preserve"> са представени в</w:t>
      </w:r>
      <w:r w:rsidR="002C6255">
        <w:rPr>
          <w:rFonts w:ascii="Times New Roman" w:hAnsi="Times New Roman" w:cs="Times New Roman"/>
          <w:sz w:val="24"/>
          <w:szCs w:val="24"/>
        </w:rPr>
        <w:t xml:space="preserve"> табл. </w:t>
      </w:r>
      <w:r w:rsidR="002C6255" w:rsidRPr="00E44C19">
        <w:rPr>
          <w:rFonts w:ascii="Times New Roman" w:hAnsi="Times New Roman" w:cs="Times New Roman"/>
          <w:sz w:val="24"/>
          <w:szCs w:val="24"/>
          <w:lang w:val="en-US"/>
        </w:rPr>
        <w:t>V.</w:t>
      </w:r>
      <w:r w:rsidR="002C6255">
        <w:rPr>
          <w:rFonts w:ascii="Times New Roman" w:hAnsi="Times New Roman" w:cs="Times New Roman"/>
          <w:sz w:val="24"/>
          <w:szCs w:val="24"/>
        </w:rPr>
        <w:t>1</w:t>
      </w:r>
      <w:r w:rsidR="00FB17F2">
        <w:rPr>
          <w:rFonts w:ascii="Times New Roman" w:hAnsi="Times New Roman" w:cs="Times New Roman"/>
          <w:sz w:val="24"/>
          <w:szCs w:val="24"/>
        </w:rPr>
        <w:t>2</w:t>
      </w:r>
      <w:r w:rsidRPr="00950BDF">
        <w:rPr>
          <w:rFonts w:ascii="Times New Roman" w:hAnsi="Times New Roman" w:cs="Times New Roman"/>
          <w:sz w:val="24"/>
          <w:szCs w:val="24"/>
        </w:rPr>
        <w:t>.</w:t>
      </w:r>
    </w:p>
    <w:p w:rsid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С цел сравнение с еталонните стойности и елиминиране на влиянието на целия период на модела</w:t>
      </w:r>
      <w:r w:rsidR="006B3599">
        <w:rPr>
          <w:rFonts w:ascii="Times New Roman" w:hAnsi="Times New Roman" w:cs="Times New Roman"/>
          <w:sz w:val="24"/>
          <w:szCs w:val="24"/>
        </w:rPr>
        <w:t>,</w:t>
      </w:r>
      <w:r w:rsidRPr="00950BDF">
        <w:rPr>
          <w:rFonts w:ascii="Times New Roman" w:hAnsi="Times New Roman" w:cs="Times New Roman"/>
          <w:sz w:val="24"/>
          <w:szCs w:val="24"/>
        </w:rPr>
        <w:t xml:space="preserve"> оперативните разходи и разходите за поддръжка на АЕЦ „Белене“ са изчислени за първите 10 години, през които работят и двата блока и се извършват всички оперативни </w:t>
      </w:r>
      <w:r w:rsidR="006B3599">
        <w:rPr>
          <w:rFonts w:ascii="Times New Roman" w:hAnsi="Times New Roman" w:cs="Times New Roman"/>
          <w:sz w:val="24"/>
          <w:szCs w:val="24"/>
        </w:rPr>
        <w:t>разходи</w:t>
      </w:r>
      <w:r w:rsidR="00233DB8">
        <w:rPr>
          <w:rFonts w:ascii="Times New Roman" w:hAnsi="Times New Roman" w:cs="Times New Roman"/>
          <w:sz w:val="24"/>
          <w:szCs w:val="24"/>
        </w:rPr>
        <w:t xml:space="preserve"> </w:t>
      </w:r>
      <w:r w:rsidR="006B3599">
        <w:rPr>
          <w:rFonts w:ascii="Times New Roman" w:hAnsi="Times New Roman" w:cs="Times New Roman"/>
          <w:sz w:val="24"/>
          <w:szCs w:val="24"/>
        </w:rPr>
        <w:t>(</w:t>
      </w:r>
      <w:r w:rsidRPr="00950BDF">
        <w:rPr>
          <w:rFonts w:ascii="Times New Roman" w:hAnsi="Times New Roman" w:cs="Times New Roman"/>
          <w:sz w:val="24"/>
          <w:szCs w:val="24"/>
        </w:rPr>
        <w:t>2030-2039 г.</w:t>
      </w:r>
      <w:r w:rsidR="006B3599">
        <w:rPr>
          <w:rFonts w:ascii="Times New Roman" w:hAnsi="Times New Roman" w:cs="Times New Roman"/>
          <w:sz w:val="24"/>
          <w:szCs w:val="24"/>
        </w:rPr>
        <w:t>).</w:t>
      </w:r>
      <w:r w:rsidRPr="00950BDF">
        <w:rPr>
          <w:rFonts w:ascii="Times New Roman" w:hAnsi="Times New Roman" w:cs="Times New Roman"/>
          <w:sz w:val="24"/>
          <w:szCs w:val="24"/>
        </w:rPr>
        <w:t xml:space="preserve"> Получената стойност е </w:t>
      </w:r>
      <w:r w:rsidR="00FB17F2" w:rsidRPr="00DB1A1E">
        <w:rPr>
          <w:rFonts w:ascii="Times New Roman" w:hAnsi="Times New Roman" w:cs="Times New Roman"/>
          <w:sz w:val="24"/>
          <w:szCs w:val="24"/>
        </w:rPr>
        <w:t>10</w:t>
      </w:r>
      <w:r w:rsidR="00233DB8">
        <w:rPr>
          <w:rFonts w:ascii="Times New Roman" w:hAnsi="Times New Roman" w:cs="Times New Roman"/>
          <w:sz w:val="24"/>
          <w:szCs w:val="24"/>
        </w:rPr>
        <w:t>.</w:t>
      </w:r>
      <w:r w:rsidR="00FB17F2" w:rsidRPr="00DB1A1E">
        <w:rPr>
          <w:rFonts w:ascii="Times New Roman" w:hAnsi="Times New Roman" w:cs="Times New Roman"/>
          <w:sz w:val="24"/>
          <w:szCs w:val="24"/>
        </w:rPr>
        <w:t>49</w:t>
      </w:r>
      <w:r w:rsidR="00233DB8">
        <w:rPr>
          <w:rFonts w:ascii="Times New Roman" w:hAnsi="Times New Roman" w:cs="Times New Roman"/>
          <w:sz w:val="24"/>
          <w:szCs w:val="24"/>
        </w:rPr>
        <w:t xml:space="preserve"> </w:t>
      </w:r>
      <w:r w:rsidRPr="00950BDF">
        <w:rPr>
          <w:rFonts w:ascii="Times New Roman" w:hAnsi="Times New Roman" w:cs="Times New Roman"/>
          <w:sz w:val="24"/>
          <w:szCs w:val="24"/>
        </w:rPr>
        <w:t>евро/mWh, което е в рамките на средното на представените еталонни стойности и може да се интерпретира като доказателство за надеждността на получените резултати</w:t>
      </w:r>
      <w:r w:rsidR="00D5298D" w:rsidRPr="00DB1A1E">
        <w:rPr>
          <w:rFonts w:ascii="Times New Roman" w:hAnsi="Times New Roman" w:cs="Times New Roman"/>
          <w:sz w:val="24"/>
          <w:szCs w:val="24"/>
        </w:rPr>
        <w:t xml:space="preserve"> (вж. </w:t>
      </w:r>
      <w:r w:rsidR="00D5298D" w:rsidRPr="00D5298D">
        <w:rPr>
          <w:rFonts w:ascii="Times New Roman" w:hAnsi="Times New Roman" w:cs="Times New Roman"/>
          <w:sz w:val="24"/>
          <w:szCs w:val="24"/>
        </w:rPr>
        <w:t>табл. V.12.</w:t>
      </w:r>
      <w:r w:rsidR="00D5298D">
        <w:rPr>
          <w:rFonts w:ascii="Times New Roman" w:hAnsi="Times New Roman" w:cs="Times New Roman"/>
          <w:sz w:val="24"/>
          <w:szCs w:val="24"/>
        </w:rPr>
        <w:t>)</w:t>
      </w:r>
      <w:r w:rsidRPr="00950BDF">
        <w:rPr>
          <w:rFonts w:ascii="Times New Roman" w:hAnsi="Times New Roman" w:cs="Times New Roman"/>
          <w:sz w:val="24"/>
          <w:szCs w:val="24"/>
        </w:rPr>
        <w:t>.</w:t>
      </w:r>
    </w:p>
    <w:p w:rsidR="00950BDF" w:rsidRPr="00FB17F2" w:rsidRDefault="00FB17F2" w:rsidP="00E44C19">
      <w:pPr>
        <w:pStyle w:val="Caption"/>
        <w:rPr>
          <w:rFonts w:ascii="Times New Roman" w:hAnsi="Times New Roman"/>
          <w:szCs w:val="24"/>
        </w:rPr>
      </w:pPr>
      <w:bookmarkStart w:id="146" w:name="_Toc491990982"/>
      <w:bookmarkStart w:id="147" w:name="_Toc491994417"/>
      <w:bookmarkStart w:id="148" w:name="_Toc493240908"/>
      <w:r w:rsidRPr="00FB17F2">
        <w:rPr>
          <w:rFonts w:hint="eastAsia"/>
        </w:rPr>
        <w:t>Таблица</w:t>
      </w:r>
      <w:r w:rsidRPr="00FB17F2">
        <w:t xml:space="preserve"> V.</w:t>
      </w:r>
      <w:r w:rsidR="0097530B">
        <w:fldChar w:fldCharType="begin"/>
      </w:r>
      <w:r w:rsidR="00042F89">
        <w:instrText xml:space="preserve"> SEQ Таблица_V. \* ARABIC </w:instrText>
      </w:r>
      <w:r w:rsidR="0097530B">
        <w:fldChar w:fldCharType="separate"/>
      </w:r>
      <w:r w:rsidR="00F44EBF">
        <w:rPr>
          <w:noProof/>
        </w:rPr>
        <w:t>12</w:t>
      </w:r>
      <w:r w:rsidR="0097530B">
        <w:rPr>
          <w:noProof/>
        </w:rPr>
        <w:fldChar w:fldCharType="end"/>
      </w:r>
      <w:r w:rsidRPr="00FB17F2">
        <w:rPr>
          <w:rFonts w:asciiTheme="minorHAnsi" w:hAnsiTheme="minorHAnsi"/>
        </w:rPr>
        <w:t xml:space="preserve">. </w:t>
      </w:r>
      <w:r w:rsidR="00950BDF" w:rsidRPr="00FB17F2">
        <w:rPr>
          <w:rFonts w:ascii="Times New Roman" w:hAnsi="Times New Roman"/>
          <w:szCs w:val="24"/>
        </w:rPr>
        <w:t>Еталонни стойности на оперативните разходи и разходите за поддръжка на единица продукция</w:t>
      </w:r>
      <w:bookmarkEnd w:id="146"/>
      <w:bookmarkEnd w:id="147"/>
      <w:bookmarkEnd w:id="148"/>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170"/>
        <w:gridCol w:w="2118"/>
      </w:tblGrid>
      <w:tr w:rsidR="00950BDF" w:rsidRPr="00CA6AE8" w:rsidTr="00641D24">
        <w:trPr>
          <w:tblHeader/>
        </w:trPr>
        <w:tc>
          <w:tcPr>
            <w:tcW w:w="7479" w:type="dxa"/>
            <w:tcBorders>
              <w:top w:val="single" w:sz="12" w:space="0" w:color="auto"/>
              <w:bottom w:val="single" w:sz="4" w:space="0" w:color="auto"/>
              <w:right w:val="single" w:sz="12" w:space="0" w:color="auto"/>
            </w:tcBorders>
            <w:shd w:val="clear" w:color="auto" w:fill="D9D9D9"/>
            <w:vAlign w:val="center"/>
          </w:tcPr>
          <w:p w:rsidR="00950BDF" w:rsidRPr="00CA6AE8" w:rsidRDefault="00950BDF" w:rsidP="00F71484">
            <w:pPr>
              <w:spacing w:after="0" w:line="240" w:lineRule="auto"/>
              <w:rPr>
                <w:rFonts w:ascii="Times New Roman" w:hAnsi="Times New Roman" w:cs="Times New Roman"/>
                <w:b/>
                <w:sz w:val="20"/>
                <w:szCs w:val="20"/>
                <w:lang w:val="en-US"/>
              </w:rPr>
            </w:pPr>
            <w:r w:rsidRPr="00CA6AE8">
              <w:rPr>
                <w:rFonts w:ascii="Times New Roman" w:hAnsi="Times New Roman" w:cs="Times New Roman"/>
                <w:b/>
                <w:sz w:val="20"/>
                <w:szCs w:val="20"/>
              </w:rPr>
              <w:t xml:space="preserve">Източник на информацията за оперативни разходи и разходи за поддръжка </w:t>
            </w:r>
          </w:p>
        </w:tc>
        <w:tc>
          <w:tcPr>
            <w:tcW w:w="1809" w:type="dxa"/>
            <w:tcBorders>
              <w:left w:val="single" w:sz="12" w:space="0" w:color="auto"/>
            </w:tcBorders>
            <w:shd w:val="clear" w:color="auto" w:fill="D9D9D9"/>
            <w:vAlign w:val="center"/>
          </w:tcPr>
          <w:p w:rsidR="00950BDF" w:rsidRPr="00CA6AE8" w:rsidRDefault="00950BDF" w:rsidP="002C6255">
            <w:pPr>
              <w:spacing w:after="0" w:line="240" w:lineRule="auto"/>
              <w:jc w:val="center"/>
              <w:rPr>
                <w:rFonts w:ascii="Times New Roman" w:hAnsi="Times New Roman" w:cs="Times New Roman"/>
                <w:b/>
                <w:sz w:val="20"/>
                <w:szCs w:val="20"/>
              </w:rPr>
            </w:pPr>
            <w:r w:rsidRPr="00CA6AE8">
              <w:rPr>
                <w:rFonts w:ascii="Times New Roman" w:hAnsi="Times New Roman" w:cs="Times New Roman"/>
                <w:b/>
                <w:sz w:val="20"/>
                <w:szCs w:val="20"/>
              </w:rPr>
              <w:t>Средна стойност(евро/</w:t>
            </w:r>
            <w:r w:rsidRPr="00CA6AE8">
              <w:rPr>
                <w:rFonts w:ascii="Times New Roman" w:hAnsi="Times New Roman" w:cs="Times New Roman"/>
                <w:b/>
                <w:sz w:val="20"/>
                <w:szCs w:val="20"/>
                <w:lang w:val="en-US"/>
              </w:rPr>
              <w:t>MWh)</w:t>
            </w:r>
          </w:p>
        </w:tc>
      </w:tr>
      <w:tr w:rsidR="00950BDF" w:rsidRPr="00CA6AE8" w:rsidTr="00641D24">
        <w:tc>
          <w:tcPr>
            <w:tcW w:w="7479" w:type="dxa"/>
            <w:tcBorders>
              <w:top w:val="single" w:sz="4" w:space="0" w:color="auto"/>
              <w:bottom w:val="single" w:sz="4" w:space="0" w:color="auto"/>
              <w:right w:val="single" w:sz="12" w:space="0" w:color="auto"/>
            </w:tcBorders>
            <w:shd w:val="clear" w:color="auto" w:fill="auto"/>
          </w:tcPr>
          <w:p w:rsidR="00950BDF" w:rsidRPr="00CA6AE8" w:rsidRDefault="00950BDF" w:rsidP="002C6255">
            <w:pPr>
              <w:spacing w:after="0" w:line="240" w:lineRule="auto"/>
              <w:rPr>
                <w:rFonts w:ascii="Times New Roman" w:hAnsi="Times New Roman" w:cs="Times New Roman"/>
                <w:sz w:val="20"/>
                <w:szCs w:val="20"/>
                <w:lang w:val="en-US"/>
              </w:rPr>
            </w:pPr>
            <w:r w:rsidRPr="00CA6AE8">
              <w:rPr>
                <w:rFonts w:ascii="Times New Roman" w:hAnsi="Times New Roman" w:cs="Times New Roman"/>
                <w:sz w:val="20"/>
                <w:szCs w:val="20"/>
                <w:lang w:val="en-US"/>
              </w:rPr>
              <w:t xml:space="preserve">International Energy Agency, Protected Costs of Generating Electricity, 2010 (IEA-2010) </w:t>
            </w:r>
          </w:p>
          <w:p w:rsidR="00950BDF" w:rsidRPr="00CA6AE8" w:rsidRDefault="00F71484" w:rsidP="002C6255">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APR</w:t>
            </w:r>
            <w:r w:rsidR="00950BDF" w:rsidRPr="00CA6AE8">
              <w:rPr>
                <w:rFonts w:ascii="Times New Roman" w:hAnsi="Times New Roman" w:cs="Times New Roman"/>
                <w:sz w:val="20"/>
                <w:szCs w:val="20"/>
                <w:lang w:val="en-US"/>
              </w:rPr>
              <w:t>-1000</w:t>
            </w:r>
          </w:p>
        </w:tc>
        <w:tc>
          <w:tcPr>
            <w:tcW w:w="1809" w:type="dxa"/>
            <w:tcBorders>
              <w:left w:val="single" w:sz="12" w:space="0" w:color="auto"/>
            </w:tcBorders>
            <w:shd w:val="clear" w:color="auto" w:fill="auto"/>
          </w:tcPr>
          <w:p w:rsidR="00950BDF" w:rsidRPr="00CA6AE8" w:rsidRDefault="00950BDF" w:rsidP="00641D24">
            <w:pPr>
              <w:spacing w:after="0" w:line="240" w:lineRule="auto"/>
              <w:ind w:right="567"/>
              <w:jc w:val="right"/>
              <w:rPr>
                <w:rFonts w:ascii="Times New Roman" w:hAnsi="Times New Roman" w:cs="Times New Roman"/>
                <w:sz w:val="20"/>
                <w:szCs w:val="20"/>
                <w:lang w:val="en-US"/>
              </w:rPr>
            </w:pPr>
            <w:r w:rsidRPr="00CA6AE8">
              <w:rPr>
                <w:rFonts w:ascii="Times New Roman" w:hAnsi="Times New Roman" w:cs="Times New Roman"/>
                <w:sz w:val="20"/>
                <w:szCs w:val="20"/>
                <w:lang w:val="en-US"/>
              </w:rPr>
              <w:t>6</w:t>
            </w:r>
            <w:r w:rsidR="00E6666C">
              <w:rPr>
                <w:rFonts w:ascii="Times New Roman" w:hAnsi="Times New Roman" w:cs="Times New Roman"/>
                <w:sz w:val="20"/>
                <w:szCs w:val="20"/>
                <w:lang w:val="en-US"/>
              </w:rPr>
              <w:t>,</w:t>
            </w:r>
            <w:r w:rsidRPr="00CA6AE8">
              <w:rPr>
                <w:rFonts w:ascii="Times New Roman" w:hAnsi="Times New Roman" w:cs="Times New Roman"/>
                <w:sz w:val="20"/>
                <w:szCs w:val="20"/>
                <w:lang w:val="en-US"/>
              </w:rPr>
              <w:t>7</w:t>
            </w:r>
          </w:p>
        </w:tc>
      </w:tr>
      <w:tr w:rsidR="00950BDF" w:rsidRPr="00CA6AE8" w:rsidTr="00641D24">
        <w:tc>
          <w:tcPr>
            <w:tcW w:w="7479" w:type="dxa"/>
            <w:tcBorders>
              <w:top w:val="single" w:sz="4" w:space="0" w:color="auto"/>
              <w:bottom w:val="single" w:sz="4" w:space="0" w:color="auto"/>
              <w:right w:val="single" w:sz="12" w:space="0" w:color="auto"/>
            </w:tcBorders>
            <w:shd w:val="clear" w:color="auto" w:fill="auto"/>
          </w:tcPr>
          <w:p w:rsidR="00950BDF" w:rsidRPr="00CA6AE8" w:rsidRDefault="00950BDF" w:rsidP="002C6255">
            <w:pPr>
              <w:spacing w:after="0" w:line="240" w:lineRule="auto"/>
              <w:rPr>
                <w:rFonts w:ascii="Times New Roman" w:hAnsi="Times New Roman" w:cs="Times New Roman"/>
                <w:sz w:val="20"/>
                <w:szCs w:val="20"/>
              </w:rPr>
            </w:pPr>
            <w:r w:rsidRPr="00CA6AE8">
              <w:rPr>
                <w:rFonts w:ascii="Times New Roman" w:hAnsi="Times New Roman" w:cs="Times New Roman"/>
                <w:sz w:val="20"/>
                <w:szCs w:val="20"/>
                <w:lang w:val="en-US"/>
              </w:rPr>
              <w:t>IEA-2010</w:t>
            </w:r>
          </w:p>
          <w:p w:rsidR="00950BDF" w:rsidRPr="00CA6AE8" w:rsidRDefault="00950BDF" w:rsidP="002C6255">
            <w:pPr>
              <w:spacing w:after="0" w:line="240" w:lineRule="auto"/>
              <w:rPr>
                <w:rFonts w:ascii="Times New Roman" w:hAnsi="Times New Roman" w:cs="Times New Roman"/>
                <w:sz w:val="20"/>
                <w:szCs w:val="20"/>
                <w:lang w:val="en-US"/>
              </w:rPr>
            </w:pPr>
            <w:r w:rsidRPr="00CA6AE8">
              <w:rPr>
                <w:rFonts w:ascii="Times New Roman" w:hAnsi="Times New Roman" w:cs="Times New Roman"/>
                <w:sz w:val="20"/>
                <w:szCs w:val="20"/>
                <w:lang w:val="en-US"/>
              </w:rPr>
              <w:t>AP-1000</w:t>
            </w:r>
          </w:p>
        </w:tc>
        <w:tc>
          <w:tcPr>
            <w:tcW w:w="1809" w:type="dxa"/>
            <w:tcBorders>
              <w:left w:val="single" w:sz="12" w:space="0" w:color="auto"/>
            </w:tcBorders>
            <w:shd w:val="clear" w:color="auto" w:fill="auto"/>
          </w:tcPr>
          <w:p w:rsidR="00950BDF" w:rsidRPr="00CA6AE8" w:rsidRDefault="00950BDF" w:rsidP="00641D24">
            <w:pPr>
              <w:spacing w:after="0" w:line="240" w:lineRule="auto"/>
              <w:ind w:right="567"/>
              <w:jc w:val="right"/>
              <w:rPr>
                <w:rFonts w:ascii="Times New Roman" w:hAnsi="Times New Roman" w:cs="Times New Roman"/>
                <w:sz w:val="20"/>
                <w:szCs w:val="20"/>
                <w:lang w:val="en-US"/>
              </w:rPr>
            </w:pPr>
            <w:r w:rsidRPr="00CA6AE8">
              <w:rPr>
                <w:rFonts w:ascii="Times New Roman" w:hAnsi="Times New Roman" w:cs="Times New Roman"/>
                <w:sz w:val="20"/>
                <w:szCs w:val="20"/>
                <w:lang w:val="en-US"/>
              </w:rPr>
              <w:t>7</w:t>
            </w:r>
            <w:r w:rsidR="00E6666C">
              <w:rPr>
                <w:rFonts w:ascii="Times New Roman" w:hAnsi="Times New Roman" w:cs="Times New Roman"/>
                <w:sz w:val="20"/>
                <w:szCs w:val="20"/>
                <w:lang w:val="en-US"/>
              </w:rPr>
              <w:t>,</w:t>
            </w:r>
            <w:r w:rsidRPr="00CA6AE8">
              <w:rPr>
                <w:rFonts w:ascii="Times New Roman" w:hAnsi="Times New Roman" w:cs="Times New Roman"/>
                <w:sz w:val="20"/>
                <w:szCs w:val="20"/>
                <w:lang w:val="en-US"/>
              </w:rPr>
              <w:t>0</w:t>
            </w:r>
          </w:p>
        </w:tc>
      </w:tr>
      <w:tr w:rsidR="00950BDF" w:rsidRPr="00CA6AE8" w:rsidTr="00641D24">
        <w:tc>
          <w:tcPr>
            <w:tcW w:w="7479" w:type="dxa"/>
            <w:tcBorders>
              <w:top w:val="single" w:sz="4" w:space="0" w:color="auto"/>
              <w:bottom w:val="single" w:sz="4" w:space="0" w:color="auto"/>
              <w:right w:val="single" w:sz="12" w:space="0" w:color="auto"/>
            </w:tcBorders>
            <w:shd w:val="clear" w:color="auto" w:fill="auto"/>
          </w:tcPr>
          <w:p w:rsidR="00950BDF" w:rsidRPr="00CA6AE8" w:rsidRDefault="00950BDF" w:rsidP="002C6255">
            <w:pPr>
              <w:spacing w:after="0" w:line="240" w:lineRule="auto"/>
              <w:rPr>
                <w:rFonts w:ascii="Times New Roman" w:hAnsi="Times New Roman" w:cs="Times New Roman"/>
                <w:sz w:val="20"/>
                <w:szCs w:val="20"/>
                <w:lang w:val="en-US"/>
              </w:rPr>
            </w:pPr>
            <w:r w:rsidRPr="00CA6AE8">
              <w:rPr>
                <w:rFonts w:ascii="Times New Roman" w:hAnsi="Times New Roman" w:cs="Times New Roman"/>
                <w:sz w:val="20"/>
                <w:szCs w:val="20"/>
                <w:lang w:val="en-US"/>
              </w:rPr>
              <w:t>IEA-2010</w:t>
            </w:r>
          </w:p>
          <w:p w:rsidR="00950BDF" w:rsidRPr="00CA6AE8" w:rsidRDefault="00950BDF" w:rsidP="002C6255">
            <w:pPr>
              <w:spacing w:after="0" w:line="240" w:lineRule="auto"/>
              <w:rPr>
                <w:rFonts w:ascii="Times New Roman" w:hAnsi="Times New Roman" w:cs="Times New Roman"/>
                <w:sz w:val="20"/>
                <w:szCs w:val="20"/>
                <w:lang w:val="en-US"/>
              </w:rPr>
            </w:pPr>
            <w:r w:rsidRPr="00CA6AE8">
              <w:rPr>
                <w:rFonts w:ascii="Times New Roman" w:hAnsi="Times New Roman" w:cs="Times New Roman"/>
                <w:sz w:val="20"/>
                <w:szCs w:val="20"/>
              </w:rPr>
              <w:t xml:space="preserve">САЩ – </w:t>
            </w:r>
            <w:r w:rsidRPr="00CA6AE8">
              <w:rPr>
                <w:rFonts w:ascii="Times New Roman" w:hAnsi="Times New Roman" w:cs="Times New Roman"/>
                <w:sz w:val="20"/>
                <w:szCs w:val="20"/>
                <w:lang w:val="en-US"/>
              </w:rPr>
              <w:t>Advanced Gen III+</w:t>
            </w:r>
          </w:p>
        </w:tc>
        <w:tc>
          <w:tcPr>
            <w:tcW w:w="1809" w:type="dxa"/>
            <w:tcBorders>
              <w:left w:val="single" w:sz="12" w:space="0" w:color="auto"/>
            </w:tcBorders>
            <w:shd w:val="clear" w:color="auto" w:fill="auto"/>
          </w:tcPr>
          <w:p w:rsidR="00950BDF" w:rsidRPr="00CA6AE8" w:rsidRDefault="00950BDF" w:rsidP="00641D24">
            <w:pPr>
              <w:spacing w:after="0" w:line="240" w:lineRule="auto"/>
              <w:ind w:right="567"/>
              <w:jc w:val="right"/>
              <w:rPr>
                <w:rFonts w:ascii="Times New Roman" w:hAnsi="Times New Roman" w:cs="Times New Roman"/>
                <w:sz w:val="20"/>
                <w:szCs w:val="20"/>
                <w:lang w:val="en-US"/>
              </w:rPr>
            </w:pPr>
            <w:r w:rsidRPr="00CA6AE8">
              <w:rPr>
                <w:rFonts w:ascii="Times New Roman" w:hAnsi="Times New Roman" w:cs="Times New Roman"/>
                <w:sz w:val="20"/>
                <w:szCs w:val="20"/>
                <w:lang w:val="en-US"/>
              </w:rPr>
              <w:t>9</w:t>
            </w:r>
            <w:r w:rsidR="00E6666C">
              <w:rPr>
                <w:rFonts w:ascii="Times New Roman" w:hAnsi="Times New Roman" w:cs="Times New Roman"/>
                <w:sz w:val="20"/>
                <w:szCs w:val="20"/>
                <w:lang w:val="en-US"/>
              </w:rPr>
              <w:t>,</w:t>
            </w:r>
            <w:r w:rsidRPr="00CA6AE8">
              <w:rPr>
                <w:rFonts w:ascii="Times New Roman" w:hAnsi="Times New Roman" w:cs="Times New Roman"/>
                <w:sz w:val="20"/>
                <w:szCs w:val="20"/>
                <w:lang w:val="en-US"/>
              </w:rPr>
              <w:t>7</w:t>
            </w:r>
          </w:p>
        </w:tc>
      </w:tr>
      <w:tr w:rsidR="00950BDF" w:rsidRPr="00CA6AE8" w:rsidTr="00641D24">
        <w:tc>
          <w:tcPr>
            <w:tcW w:w="7479" w:type="dxa"/>
            <w:tcBorders>
              <w:top w:val="single" w:sz="4" w:space="0" w:color="auto"/>
              <w:bottom w:val="single" w:sz="4" w:space="0" w:color="auto"/>
              <w:right w:val="single" w:sz="12" w:space="0" w:color="auto"/>
            </w:tcBorders>
            <w:shd w:val="clear" w:color="auto" w:fill="auto"/>
          </w:tcPr>
          <w:p w:rsidR="00950BDF" w:rsidRPr="00CA6AE8" w:rsidRDefault="00950BDF" w:rsidP="002C6255">
            <w:pPr>
              <w:spacing w:after="0" w:line="240" w:lineRule="auto"/>
              <w:rPr>
                <w:rFonts w:ascii="Times New Roman" w:hAnsi="Times New Roman" w:cs="Times New Roman"/>
                <w:sz w:val="20"/>
                <w:szCs w:val="20"/>
                <w:lang w:val="en-US"/>
              </w:rPr>
            </w:pPr>
            <w:r w:rsidRPr="00CA6AE8">
              <w:rPr>
                <w:rFonts w:ascii="Times New Roman" w:hAnsi="Times New Roman" w:cs="Times New Roman"/>
                <w:sz w:val="20"/>
                <w:szCs w:val="20"/>
              </w:rPr>
              <w:t>Deutsches</w:t>
            </w:r>
            <w:r w:rsidR="002A0227">
              <w:rPr>
                <w:rFonts w:ascii="Times New Roman" w:hAnsi="Times New Roman" w:cs="Times New Roman"/>
                <w:sz w:val="20"/>
                <w:szCs w:val="20"/>
              </w:rPr>
              <w:t xml:space="preserve"> </w:t>
            </w:r>
            <w:r w:rsidRPr="00CA6AE8">
              <w:rPr>
                <w:rFonts w:ascii="Times New Roman" w:hAnsi="Times New Roman" w:cs="Times New Roman"/>
                <w:sz w:val="20"/>
                <w:szCs w:val="20"/>
              </w:rPr>
              <w:t>Institutfür</w:t>
            </w:r>
            <w:r w:rsidR="002A0227">
              <w:rPr>
                <w:rFonts w:ascii="Times New Roman" w:hAnsi="Times New Roman" w:cs="Times New Roman"/>
                <w:sz w:val="20"/>
                <w:szCs w:val="20"/>
              </w:rPr>
              <w:t xml:space="preserve"> </w:t>
            </w:r>
            <w:r w:rsidRPr="00CA6AE8">
              <w:rPr>
                <w:rFonts w:ascii="Times New Roman" w:hAnsi="Times New Roman" w:cs="Times New Roman"/>
                <w:sz w:val="20"/>
                <w:szCs w:val="20"/>
              </w:rPr>
              <w:t>Wirtschaftsforschung</w:t>
            </w:r>
            <w:r w:rsidRPr="00CA6AE8">
              <w:rPr>
                <w:rFonts w:ascii="Times New Roman" w:hAnsi="Times New Roman" w:cs="Times New Roman"/>
                <w:sz w:val="20"/>
                <w:szCs w:val="20"/>
                <w:lang w:val="en-US"/>
              </w:rPr>
              <w:t xml:space="preserve">, 2013. </w:t>
            </w:r>
            <w:r w:rsidRPr="00CA6AE8">
              <w:rPr>
                <w:rFonts w:ascii="Times New Roman" w:hAnsi="Times New Roman" w:cs="Times New Roman"/>
                <w:sz w:val="20"/>
                <w:szCs w:val="20"/>
              </w:rPr>
              <w:t>Current</w:t>
            </w:r>
            <w:r w:rsidR="000A609E">
              <w:rPr>
                <w:rFonts w:ascii="Times New Roman" w:hAnsi="Times New Roman" w:cs="Times New Roman"/>
                <w:sz w:val="20"/>
                <w:szCs w:val="20"/>
              </w:rPr>
              <w:t xml:space="preserve"> </w:t>
            </w:r>
            <w:r w:rsidRPr="00CA6AE8">
              <w:rPr>
                <w:rFonts w:ascii="Times New Roman" w:hAnsi="Times New Roman" w:cs="Times New Roman"/>
                <w:sz w:val="20"/>
                <w:szCs w:val="20"/>
              </w:rPr>
              <w:t>and</w:t>
            </w:r>
            <w:r w:rsidR="002A0227">
              <w:rPr>
                <w:rFonts w:ascii="Times New Roman" w:hAnsi="Times New Roman" w:cs="Times New Roman"/>
                <w:sz w:val="20"/>
                <w:szCs w:val="20"/>
              </w:rPr>
              <w:t xml:space="preserve"> </w:t>
            </w:r>
            <w:r w:rsidRPr="00CA6AE8">
              <w:rPr>
                <w:rFonts w:ascii="Times New Roman" w:hAnsi="Times New Roman" w:cs="Times New Roman"/>
                <w:sz w:val="20"/>
                <w:szCs w:val="20"/>
              </w:rPr>
              <w:t>Prospective</w:t>
            </w:r>
            <w:r w:rsidR="002A0227">
              <w:rPr>
                <w:rFonts w:ascii="Times New Roman" w:hAnsi="Times New Roman" w:cs="Times New Roman"/>
                <w:sz w:val="20"/>
                <w:szCs w:val="20"/>
              </w:rPr>
              <w:t xml:space="preserve"> </w:t>
            </w:r>
            <w:r w:rsidRPr="00CA6AE8">
              <w:rPr>
                <w:rFonts w:ascii="Times New Roman" w:hAnsi="Times New Roman" w:cs="Times New Roman"/>
                <w:sz w:val="20"/>
                <w:szCs w:val="20"/>
              </w:rPr>
              <w:t>Costs</w:t>
            </w:r>
            <w:r w:rsidR="002A0227">
              <w:rPr>
                <w:rFonts w:ascii="Times New Roman" w:hAnsi="Times New Roman" w:cs="Times New Roman"/>
                <w:sz w:val="20"/>
                <w:szCs w:val="20"/>
              </w:rPr>
              <w:t xml:space="preserve"> </w:t>
            </w:r>
            <w:r w:rsidRPr="00CA6AE8">
              <w:rPr>
                <w:rFonts w:ascii="Times New Roman" w:hAnsi="Times New Roman" w:cs="Times New Roman"/>
                <w:sz w:val="20"/>
                <w:szCs w:val="20"/>
              </w:rPr>
              <w:t>of</w:t>
            </w:r>
            <w:r w:rsidR="002A0227">
              <w:rPr>
                <w:rFonts w:ascii="Times New Roman" w:hAnsi="Times New Roman" w:cs="Times New Roman"/>
                <w:sz w:val="20"/>
                <w:szCs w:val="20"/>
              </w:rPr>
              <w:t xml:space="preserve"> </w:t>
            </w:r>
            <w:r w:rsidRPr="00CA6AE8">
              <w:rPr>
                <w:rFonts w:ascii="Times New Roman" w:hAnsi="Times New Roman" w:cs="Times New Roman"/>
                <w:sz w:val="20"/>
                <w:szCs w:val="20"/>
              </w:rPr>
              <w:t>Electricity</w:t>
            </w:r>
            <w:r w:rsidR="002A0227">
              <w:rPr>
                <w:rFonts w:ascii="Times New Roman" w:hAnsi="Times New Roman" w:cs="Times New Roman"/>
                <w:sz w:val="20"/>
                <w:szCs w:val="20"/>
              </w:rPr>
              <w:t xml:space="preserve"> </w:t>
            </w:r>
            <w:r w:rsidRPr="00CA6AE8">
              <w:rPr>
                <w:rFonts w:ascii="Times New Roman" w:hAnsi="Times New Roman" w:cs="Times New Roman"/>
                <w:sz w:val="20"/>
                <w:szCs w:val="20"/>
              </w:rPr>
              <w:t>Generation</w:t>
            </w:r>
            <w:r w:rsidR="000A609E">
              <w:rPr>
                <w:rFonts w:ascii="Times New Roman" w:hAnsi="Times New Roman" w:cs="Times New Roman"/>
                <w:sz w:val="20"/>
                <w:szCs w:val="20"/>
              </w:rPr>
              <w:t xml:space="preserve"> </w:t>
            </w:r>
            <w:r w:rsidRPr="00CA6AE8">
              <w:rPr>
                <w:rFonts w:ascii="Times New Roman" w:hAnsi="Times New Roman" w:cs="Times New Roman"/>
                <w:sz w:val="20"/>
                <w:szCs w:val="20"/>
              </w:rPr>
              <w:t>until 2050</w:t>
            </w:r>
          </w:p>
          <w:p w:rsidR="00950BDF" w:rsidRPr="00CA6AE8" w:rsidRDefault="00950BDF" w:rsidP="002C6255">
            <w:pPr>
              <w:spacing w:after="0" w:line="240" w:lineRule="auto"/>
              <w:rPr>
                <w:rFonts w:ascii="Times New Roman" w:hAnsi="Times New Roman" w:cs="Times New Roman"/>
                <w:sz w:val="20"/>
                <w:szCs w:val="20"/>
                <w:lang w:val="en-US"/>
              </w:rPr>
            </w:pPr>
            <w:r w:rsidRPr="00CA6AE8">
              <w:rPr>
                <w:rFonts w:ascii="Times New Roman" w:hAnsi="Times New Roman" w:cs="Times New Roman"/>
                <w:sz w:val="20"/>
                <w:szCs w:val="20"/>
              </w:rPr>
              <w:t>Ristö, T. &amp;</w:t>
            </w:r>
            <w:r w:rsidR="000A609E">
              <w:rPr>
                <w:rFonts w:ascii="Times New Roman" w:hAnsi="Times New Roman" w:cs="Times New Roman"/>
                <w:sz w:val="20"/>
                <w:szCs w:val="20"/>
              </w:rPr>
              <w:t xml:space="preserve"> </w:t>
            </w:r>
            <w:r w:rsidRPr="00CA6AE8">
              <w:rPr>
                <w:rFonts w:ascii="Times New Roman" w:hAnsi="Times New Roman" w:cs="Times New Roman"/>
                <w:sz w:val="20"/>
                <w:szCs w:val="20"/>
              </w:rPr>
              <w:t>Kivistö, A., 2008. Comparison</w:t>
            </w:r>
            <w:r w:rsidR="000A609E">
              <w:rPr>
                <w:rFonts w:ascii="Times New Roman" w:hAnsi="Times New Roman" w:cs="Times New Roman"/>
                <w:sz w:val="20"/>
                <w:szCs w:val="20"/>
              </w:rPr>
              <w:t xml:space="preserve"> </w:t>
            </w:r>
            <w:r w:rsidRPr="00CA6AE8">
              <w:rPr>
                <w:rFonts w:ascii="Times New Roman" w:hAnsi="Times New Roman" w:cs="Times New Roman"/>
                <w:sz w:val="20"/>
                <w:szCs w:val="20"/>
              </w:rPr>
              <w:t>of</w:t>
            </w:r>
            <w:r w:rsidR="000A609E">
              <w:rPr>
                <w:rFonts w:ascii="Times New Roman" w:hAnsi="Times New Roman" w:cs="Times New Roman"/>
                <w:sz w:val="20"/>
                <w:szCs w:val="20"/>
              </w:rPr>
              <w:t xml:space="preserve"> </w:t>
            </w:r>
            <w:r w:rsidRPr="00CA6AE8">
              <w:rPr>
                <w:rFonts w:ascii="Times New Roman" w:hAnsi="Times New Roman" w:cs="Times New Roman"/>
                <w:sz w:val="20"/>
                <w:szCs w:val="20"/>
              </w:rPr>
              <w:t>Electricity</w:t>
            </w:r>
            <w:r w:rsidR="000A609E">
              <w:rPr>
                <w:rFonts w:ascii="Times New Roman" w:hAnsi="Times New Roman" w:cs="Times New Roman"/>
                <w:sz w:val="20"/>
                <w:szCs w:val="20"/>
              </w:rPr>
              <w:t xml:space="preserve"> </w:t>
            </w:r>
            <w:r w:rsidRPr="00CA6AE8">
              <w:rPr>
                <w:rFonts w:ascii="Times New Roman" w:hAnsi="Times New Roman" w:cs="Times New Roman"/>
                <w:sz w:val="20"/>
                <w:szCs w:val="20"/>
              </w:rPr>
              <w:t>Generation</w:t>
            </w:r>
            <w:r w:rsidR="000A609E">
              <w:rPr>
                <w:rFonts w:ascii="Times New Roman" w:hAnsi="Times New Roman" w:cs="Times New Roman"/>
                <w:sz w:val="20"/>
                <w:szCs w:val="20"/>
              </w:rPr>
              <w:t xml:space="preserve"> </w:t>
            </w:r>
            <w:r w:rsidRPr="00CA6AE8">
              <w:rPr>
                <w:rFonts w:ascii="Times New Roman" w:hAnsi="Times New Roman" w:cs="Times New Roman"/>
                <w:sz w:val="20"/>
                <w:szCs w:val="20"/>
              </w:rPr>
              <w:t>Costs, Lappeenranta: Lappeenranta</w:t>
            </w:r>
            <w:r w:rsidR="000A609E">
              <w:rPr>
                <w:rFonts w:ascii="Times New Roman" w:hAnsi="Times New Roman" w:cs="Times New Roman"/>
                <w:sz w:val="20"/>
                <w:szCs w:val="20"/>
              </w:rPr>
              <w:t xml:space="preserve"> </w:t>
            </w:r>
            <w:r w:rsidRPr="00CA6AE8">
              <w:rPr>
                <w:rFonts w:ascii="Times New Roman" w:hAnsi="Times New Roman" w:cs="Times New Roman"/>
                <w:sz w:val="20"/>
                <w:szCs w:val="20"/>
              </w:rPr>
              <w:t>University</w:t>
            </w:r>
            <w:r w:rsidR="000A609E">
              <w:rPr>
                <w:rFonts w:ascii="Times New Roman" w:hAnsi="Times New Roman" w:cs="Times New Roman"/>
                <w:sz w:val="20"/>
                <w:szCs w:val="20"/>
              </w:rPr>
              <w:t xml:space="preserve"> </w:t>
            </w:r>
            <w:r w:rsidRPr="00CA6AE8">
              <w:rPr>
                <w:rFonts w:ascii="Times New Roman" w:hAnsi="Times New Roman" w:cs="Times New Roman"/>
                <w:sz w:val="20"/>
                <w:szCs w:val="20"/>
              </w:rPr>
              <w:t>of Technology Faculty</w:t>
            </w:r>
            <w:r w:rsidR="000A609E">
              <w:rPr>
                <w:rFonts w:ascii="Times New Roman" w:hAnsi="Times New Roman" w:cs="Times New Roman"/>
                <w:sz w:val="20"/>
                <w:szCs w:val="20"/>
              </w:rPr>
              <w:t xml:space="preserve"> </w:t>
            </w:r>
            <w:r w:rsidRPr="00CA6AE8">
              <w:rPr>
                <w:rFonts w:ascii="Times New Roman" w:hAnsi="Times New Roman" w:cs="Times New Roman"/>
                <w:sz w:val="20"/>
                <w:szCs w:val="20"/>
              </w:rPr>
              <w:t>of Technology Department of Energy and</w:t>
            </w:r>
            <w:r w:rsidR="000A609E">
              <w:rPr>
                <w:rFonts w:ascii="Times New Roman" w:hAnsi="Times New Roman" w:cs="Times New Roman"/>
                <w:sz w:val="20"/>
                <w:szCs w:val="20"/>
              </w:rPr>
              <w:t xml:space="preserve"> </w:t>
            </w:r>
            <w:r w:rsidRPr="00CA6AE8">
              <w:rPr>
                <w:rFonts w:ascii="Times New Roman" w:hAnsi="Times New Roman" w:cs="Times New Roman"/>
                <w:sz w:val="20"/>
                <w:szCs w:val="20"/>
              </w:rPr>
              <w:t>Environmental Technology</w:t>
            </w:r>
          </w:p>
        </w:tc>
        <w:tc>
          <w:tcPr>
            <w:tcW w:w="1809" w:type="dxa"/>
            <w:tcBorders>
              <w:left w:val="single" w:sz="12" w:space="0" w:color="auto"/>
            </w:tcBorders>
            <w:shd w:val="clear" w:color="auto" w:fill="auto"/>
          </w:tcPr>
          <w:p w:rsidR="00950BDF" w:rsidRPr="00CA6AE8" w:rsidRDefault="00950BDF" w:rsidP="00641D24">
            <w:pPr>
              <w:spacing w:after="0" w:line="240" w:lineRule="auto"/>
              <w:ind w:right="567"/>
              <w:jc w:val="right"/>
              <w:rPr>
                <w:rFonts w:ascii="Times New Roman" w:hAnsi="Times New Roman" w:cs="Times New Roman"/>
                <w:sz w:val="20"/>
                <w:szCs w:val="20"/>
                <w:lang w:val="en-US"/>
              </w:rPr>
            </w:pPr>
            <w:r w:rsidRPr="00CA6AE8">
              <w:rPr>
                <w:rFonts w:ascii="Times New Roman" w:hAnsi="Times New Roman" w:cs="Times New Roman"/>
                <w:sz w:val="20"/>
                <w:szCs w:val="20"/>
                <w:lang w:val="en-US"/>
              </w:rPr>
              <w:t>10</w:t>
            </w:r>
            <w:r w:rsidR="00E6666C">
              <w:rPr>
                <w:rFonts w:ascii="Times New Roman" w:hAnsi="Times New Roman" w:cs="Times New Roman"/>
                <w:sz w:val="20"/>
                <w:szCs w:val="20"/>
                <w:lang w:val="en-US"/>
              </w:rPr>
              <w:t>,</w:t>
            </w:r>
            <w:r w:rsidRPr="00CA6AE8">
              <w:rPr>
                <w:rFonts w:ascii="Times New Roman" w:hAnsi="Times New Roman" w:cs="Times New Roman"/>
                <w:sz w:val="20"/>
                <w:szCs w:val="20"/>
                <w:lang w:val="en-US"/>
              </w:rPr>
              <w:t>0</w:t>
            </w:r>
          </w:p>
        </w:tc>
      </w:tr>
      <w:tr w:rsidR="00950BDF" w:rsidRPr="00CA6AE8" w:rsidTr="00641D24">
        <w:tc>
          <w:tcPr>
            <w:tcW w:w="7479" w:type="dxa"/>
            <w:tcBorders>
              <w:top w:val="single" w:sz="4" w:space="0" w:color="auto"/>
              <w:bottom w:val="single" w:sz="4" w:space="0" w:color="auto"/>
              <w:right w:val="single" w:sz="12" w:space="0" w:color="auto"/>
            </w:tcBorders>
            <w:shd w:val="clear" w:color="auto" w:fill="auto"/>
          </w:tcPr>
          <w:p w:rsidR="00950BDF" w:rsidRPr="00CA6AE8" w:rsidRDefault="00950BDF" w:rsidP="002C6255">
            <w:pPr>
              <w:spacing w:after="0" w:line="240" w:lineRule="auto"/>
              <w:rPr>
                <w:rFonts w:ascii="Times New Roman" w:hAnsi="Times New Roman" w:cs="Times New Roman"/>
                <w:sz w:val="20"/>
                <w:szCs w:val="20"/>
                <w:lang w:val="en-US"/>
              </w:rPr>
            </w:pPr>
            <w:r w:rsidRPr="00CA6AE8">
              <w:rPr>
                <w:rFonts w:ascii="Times New Roman" w:hAnsi="Times New Roman" w:cs="Times New Roman"/>
                <w:sz w:val="20"/>
                <w:szCs w:val="20"/>
              </w:rPr>
              <w:t>NEI, 2010. U.S. Electricity</w:t>
            </w:r>
            <w:r w:rsidR="000A609E">
              <w:rPr>
                <w:rFonts w:ascii="Times New Roman" w:hAnsi="Times New Roman" w:cs="Times New Roman"/>
                <w:sz w:val="20"/>
                <w:szCs w:val="20"/>
              </w:rPr>
              <w:t xml:space="preserve"> </w:t>
            </w:r>
            <w:r w:rsidRPr="00CA6AE8">
              <w:rPr>
                <w:rFonts w:ascii="Times New Roman" w:hAnsi="Times New Roman" w:cs="Times New Roman"/>
                <w:sz w:val="20"/>
                <w:szCs w:val="20"/>
              </w:rPr>
              <w:t>Production</w:t>
            </w:r>
            <w:r w:rsidR="000A609E">
              <w:rPr>
                <w:rFonts w:ascii="Times New Roman" w:hAnsi="Times New Roman" w:cs="Times New Roman"/>
                <w:sz w:val="20"/>
                <w:szCs w:val="20"/>
              </w:rPr>
              <w:t xml:space="preserve"> </w:t>
            </w:r>
            <w:r w:rsidRPr="00CA6AE8">
              <w:rPr>
                <w:rFonts w:ascii="Times New Roman" w:hAnsi="Times New Roman" w:cs="Times New Roman"/>
                <w:sz w:val="20"/>
                <w:szCs w:val="20"/>
              </w:rPr>
              <w:t>Costs</w:t>
            </w:r>
            <w:r w:rsidR="000A609E">
              <w:rPr>
                <w:rFonts w:ascii="Times New Roman" w:hAnsi="Times New Roman" w:cs="Times New Roman"/>
                <w:sz w:val="20"/>
                <w:szCs w:val="20"/>
              </w:rPr>
              <w:t xml:space="preserve"> </w:t>
            </w:r>
            <w:r w:rsidRPr="00CA6AE8">
              <w:rPr>
                <w:rFonts w:ascii="Times New Roman" w:hAnsi="Times New Roman" w:cs="Times New Roman"/>
                <w:sz w:val="20"/>
                <w:szCs w:val="20"/>
              </w:rPr>
              <w:t>and</w:t>
            </w:r>
            <w:r w:rsidR="000A609E">
              <w:rPr>
                <w:rFonts w:ascii="Times New Roman" w:hAnsi="Times New Roman" w:cs="Times New Roman"/>
                <w:sz w:val="20"/>
                <w:szCs w:val="20"/>
              </w:rPr>
              <w:t xml:space="preserve"> </w:t>
            </w:r>
            <w:r w:rsidRPr="00CA6AE8">
              <w:rPr>
                <w:rFonts w:ascii="Times New Roman" w:hAnsi="Times New Roman" w:cs="Times New Roman"/>
                <w:sz w:val="20"/>
                <w:szCs w:val="20"/>
              </w:rPr>
              <w:t>Components, Nuclear Energy Institute</w:t>
            </w:r>
          </w:p>
        </w:tc>
        <w:tc>
          <w:tcPr>
            <w:tcW w:w="1809" w:type="dxa"/>
            <w:tcBorders>
              <w:left w:val="single" w:sz="12" w:space="0" w:color="auto"/>
            </w:tcBorders>
            <w:shd w:val="clear" w:color="auto" w:fill="auto"/>
          </w:tcPr>
          <w:p w:rsidR="00950BDF" w:rsidRPr="00CA6AE8" w:rsidRDefault="00950BDF" w:rsidP="00641D24">
            <w:pPr>
              <w:spacing w:after="0" w:line="240" w:lineRule="auto"/>
              <w:ind w:right="567"/>
              <w:jc w:val="right"/>
              <w:rPr>
                <w:rFonts w:ascii="Times New Roman" w:hAnsi="Times New Roman" w:cs="Times New Roman"/>
                <w:sz w:val="20"/>
                <w:szCs w:val="20"/>
                <w:lang w:val="en-US"/>
              </w:rPr>
            </w:pPr>
            <w:r w:rsidRPr="00CA6AE8">
              <w:rPr>
                <w:rFonts w:ascii="Times New Roman" w:hAnsi="Times New Roman" w:cs="Times New Roman"/>
                <w:sz w:val="20"/>
                <w:szCs w:val="20"/>
                <w:lang w:val="en-US"/>
              </w:rPr>
              <w:t>10</w:t>
            </w:r>
            <w:r w:rsidR="00E6666C">
              <w:rPr>
                <w:rFonts w:ascii="Times New Roman" w:hAnsi="Times New Roman" w:cs="Times New Roman"/>
                <w:sz w:val="20"/>
                <w:szCs w:val="20"/>
                <w:lang w:val="en-US"/>
              </w:rPr>
              <w:t>,</w:t>
            </w:r>
            <w:r w:rsidRPr="00CA6AE8">
              <w:rPr>
                <w:rFonts w:ascii="Times New Roman" w:hAnsi="Times New Roman" w:cs="Times New Roman"/>
                <w:sz w:val="20"/>
                <w:szCs w:val="20"/>
                <w:lang w:val="en-US"/>
              </w:rPr>
              <w:t>7</w:t>
            </w:r>
          </w:p>
        </w:tc>
      </w:tr>
      <w:tr w:rsidR="00950BDF" w:rsidRPr="00CA6AE8" w:rsidTr="00641D24">
        <w:tc>
          <w:tcPr>
            <w:tcW w:w="7479" w:type="dxa"/>
            <w:tcBorders>
              <w:top w:val="single" w:sz="4" w:space="0" w:color="auto"/>
              <w:bottom w:val="single" w:sz="4" w:space="0" w:color="auto"/>
              <w:right w:val="single" w:sz="12" w:space="0" w:color="auto"/>
            </w:tcBorders>
            <w:shd w:val="clear" w:color="auto" w:fill="auto"/>
          </w:tcPr>
          <w:p w:rsidR="00950BDF" w:rsidRPr="00CA6AE8" w:rsidRDefault="00950BDF" w:rsidP="002C6255">
            <w:pPr>
              <w:spacing w:after="0" w:line="240" w:lineRule="auto"/>
              <w:rPr>
                <w:rFonts w:ascii="Times New Roman" w:hAnsi="Times New Roman" w:cs="Times New Roman"/>
                <w:sz w:val="20"/>
                <w:szCs w:val="20"/>
                <w:lang w:val="en-US"/>
              </w:rPr>
            </w:pPr>
            <w:r w:rsidRPr="00CA6AE8">
              <w:rPr>
                <w:rFonts w:ascii="Times New Roman" w:hAnsi="Times New Roman" w:cs="Times New Roman"/>
                <w:sz w:val="20"/>
                <w:szCs w:val="20"/>
                <w:lang w:val="en-US"/>
              </w:rPr>
              <w:t>International Energy Agency, 2010. Protected Costs of Generating Electricity</w:t>
            </w:r>
          </w:p>
          <w:p w:rsidR="00950BDF" w:rsidRPr="00CA6AE8" w:rsidRDefault="00950BDF" w:rsidP="002C6255">
            <w:pPr>
              <w:spacing w:after="0" w:line="240" w:lineRule="auto"/>
              <w:rPr>
                <w:rFonts w:ascii="Times New Roman" w:hAnsi="Times New Roman" w:cs="Times New Roman"/>
                <w:sz w:val="20"/>
                <w:szCs w:val="20"/>
                <w:lang w:val="en-US"/>
              </w:rPr>
            </w:pPr>
            <w:r w:rsidRPr="00CA6AE8">
              <w:rPr>
                <w:rFonts w:ascii="Times New Roman" w:hAnsi="Times New Roman" w:cs="Times New Roman"/>
                <w:sz w:val="20"/>
                <w:szCs w:val="20"/>
                <w:lang w:val="en-US"/>
              </w:rPr>
              <w:t xml:space="preserve">France </w:t>
            </w:r>
            <w:r w:rsidR="009234A1">
              <w:rPr>
                <w:rFonts w:ascii="Times New Roman" w:hAnsi="Times New Roman" w:cs="Times New Roman"/>
                <w:sz w:val="20"/>
                <w:szCs w:val="20"/>
                <w:lang w:val="en-US"/>
              </w:rPr>
              <w:t>–</w:t>
            </w:r>
            <w:r w:rsidRPr="00CA6AE8">
              <w:rPr>
                <w:rFonts w:ascii="Times New Roman" w:hAnsi="Times New Roman" w:cs="Times New Roman"/>
                <w:sz w:val="20"/>
                <w:szCs w:val="20"/>
                <w:lang w:val="en-US"/>
              </w:rPr>
              <w:t>EPR</w:t>
            </w:r>
          </w:p>
        </w:tc>
        <w:tc>
          <w:tcPr>
            <w:tcW w:w="1809" w:type="dxa"/>
            <w:tcBorders>
              <w:left w:val="single" w:sz="12" w:space="0" w:color="auto"/>
            </w:tcBorders>
            <w:shd w:val="clear" w:color="auto" w:fill="auto"/>
          </w:tcPr>
          <w:p w:rsidR="00950BDF" w:rsidRPr="00CA6AE8" w:rsidRDefault="00950BDF" w:rsidP="00641D24">
            <w:pPr>
              <w:spacing w:after="0" w:line="240" w:lineRule="auto"/>
              <w:ind w:right="567"/>
              <w:jc w:val="right"/>
              <w:rPr>
                <w:rFonts w:ascii="Times New Roman" w:hAnsi="Times New Roman" w:cs="Times New Roman"/>
                <w:sz w:val="20"/>
                <w:szCs w:val="20"/>
                <w:lang w:val="en-US"/>
              </w:rPr>
            </w:pPr>
            <w:r w:rsidRPr="00CA6AE8">
              <w:rPr>
                <w:rFonts w:ascii="Times New Roman" w:hAnsi="Times New Roman" w:cs="Times New Roman"/>
                <w:sz w:val="20"/>
                <w:szCs w:val="20"/>
                <w:lang w:val="en-US"/>
              </w:rPr>
              <w:t>12</w:t>
            </w:r>
            <w:r w:rsidR="00E6666C">
              <w:rPr>
                <w:rFonts w:ascii="Times New Roman" w:hAnsi="Times New Roman" w:cs="Times New Roman"/>
                <w:sz w:val="20"/>
                <w:szCs w:val="20"/>
                <w:lang w:val="en-US"/>
              </w:rPr>
              <w:t>,</w:t>
            </w:r>
            <w:r w:rsidRPr="00CA6AE8">
              <w:rPr>
                <w:rFonts w:ascii="Times New Roman" w:hAnsi="Times New Roman" w:cs="Times New Roman"/>
                <w:sz w:val="20"/>
                <w:szCs w:val="20"/>
                <w:lang w:val="en-US"/>
              </w:rPr>
              <w:t>1</w:t>
            </w:r>
          </w:p>
        </w:tc>
      </w:tr>
      <w:tr w:rsidR="00950BDF" w:rsidRPr="00CA6AE8" w:rsidTr="00641D24">
        <w:tc>
          <w:tcPr>
            <w:tcW w:w="7479" w:type="dxa"/>
            <w:tcBorders>
              <w:top w:val="single" w:sz="4" w:space="0" w:color="auto"/>
              <w:bottom w:val="single" w:sz="4" w:space="0" w:color="auto"/>
              <w:right w:val="single" w:sz="12" w:space="0" w:color="auto"/>
            </w:tcBorders>
            <w:shd w:val="clear" w:color="auto" w:fill="auto"/>
          </w:tcPr>
          <w:p w:rsidR="00950BDF" w:rsidRPr="00CA6AE8" w:rsidRDefault="00950BDF" w:rsidP="002C6255">
            <w:pPr>
              <w:spacing w:after="0" w:line="240" w:lineRule="auto"/>
              <w:rPr>
                <w:rFonts w:ascii="Times New Roman" w:hAnsi="Times New Roman" w:cs="Times New Roman"/>
                <w:sz w:val="20"/>
                <w:szCs w:val="20"/>
                <w:lang w:val="en-US"/>
              </w:rPr>
            </w:pPr>
            <w:r w:rsidRPr="00CA6AE8">
              <w:rPr>
                <w:rFonts w:ascii="Times New Roman" w:hAnsi="Times New Roman" w:cs="Times New Roman"/>
                <w:sz w:val="20"/>
                <w:szCs w:val="20"/>
                <w:lang w:val="en-US"/>
              </w:rPr>
              <w:t>DIW-2013</w:t>
            </w:r>
          </w:p>
          <w:p w:rsidR="00950BDF" w:rsidRPr="00CA6AE8" w:rsidRDefault="00950BDF" w:rsidP="002C6255">
            <w:pPr>
              <w:spacing w:after="0" w:line="240" w:lineRule="auto"/>
              <w:rPr>
                <w:rFonts w:ascii="Times New Roman" w:hAnsi="Times New Roman" w:cs="Times New Roman"/>
                <w:sz w:val="20"/>
                <w:szCs w:val="20"/>
                <w:lang w:val="en-US"/>
              </w:rPr>
            </w:pPr>
            <w:r w:rsidRPr="00CA6AE8">
              <w:rPr>
                <w:rFonts w:ascii="Times New Roman" w:hAnsi="Times New Roman" w:cs="Times New Roman"/>
                <w:sz w:val="20"/>
                <w:szCs w:val="20"/>
              </w:rPr>
              <w:t>CdC, 2012. Lescoûts de lafilièreélectronucléaire, Paris: CourdesComptes</w:t>
            </w:r>
          </w:p>
        </w:tc>
        <w:tc>
          <w:tcPr>
            <w:tcW w:w="1809" w:type="dxa"/>
            <w:tcBorders>
              <w:left w:val="single" w:sz="12" w:space="0" w:color="auto"/>
            </w:tcBorders>
            <w:shd w:val="clear" w:color="auto" w:fill="auto"/>
          </w:tcPr>
          <w:p w:rsidR="00950BDF" w:rsidRPr="00CA6AE8" w:rsidRDefault="00950BDF" w:rsidP="00641D24">
            <w:pPr>
              <w:spacing w:after="0" w:line="240" w:lineRule="auto"/>
              <w:ind w:right="567"/>
              <w:jc w:val="right"/>
              <w:rPr>
                <w:rFonts w:ascii="Times New Roman" w:hAnsi="Times New Roman" w:cs="Times New Roman"/>
                <w:sz w:val="20"/>
                <w:szCs w:val="20"/>
                <w:lang w:val="en-US"/>
              </w:rPr>
            </w:pPr>
            <w:r w:rsidRPr="00CA6AE8">
              <w:rPr>
                <w:rFonts w:ascii="Times New Roman" w:hAnsi="Times New Roman" w:cs="Times New Roman"/>
                <w:sz w:val="20"/>
                <w:szCs w:val="20"/>
                <w:lang w:val="en-US"/>
              </w:rPr>
              <w:t>13</w:t>
            </w:r>
            <w:r w:rsidR="00E6666C">
              <w:rPr>
                <w:rFonts w:ascii="Times New Roman" w:hAnsi="Times New Roman" w:cs="Times New Roman"/>
                <w:sz w:val="20"/>
                <w:szCs w:val="20"/>
                <w:lang w:val="en-US"/>
              </w:rPr>
              <w:t>,</w:t>
            </w:r>
            <w:r w:rsidRPr="00CA6AE8">
              <w:rPr>
                <w:rFonts w:ascii="Times New Roman" w:hAnsi="Times New Roman" w:cs="Times New Roman"/>
                <w:sz w:val="20"/>
                <w:szCs w:val="20"/>
                <w:lang w:val="en-US"/>
              </w:rPr>
              <w:t>8</w:t>
            </w:r>
          </w:p>
        </w:tc>
      </w:tr>
      <w:tr w:rsidR="00950BDF" w:rsidRPr="00CA6AE8" w:rsidTr="00641D24">
        <w:tc>
          <w:tcPr>
            <w:tcW w:w="7479" w:type="dxa"/>
            <w:tcBorders>
              <w:top w:val="single" w:sz="4" w:space="0" w:color="auto"/>
              <w:bottom w:val="single" w:sz="4" w:space="0" w:color="auto"/>
              <w:right w:val="single" w:sz="12" w:space="0" w:color="auto"/>
            </w:tcBorders>
            <w:shd w:val="clear" w:color="auto" w:fill="auto"/>
          </w:tcPr>
          <w:p w:rsidR="00950BDF" w:rsidRPr="00CA6AE8" w:rsidRDefault="00950BDF" w:rsidP="002C6255">
            <w:pPr>
              <w:spacing w:after="0" w:line="240" w:lineRule="auto"/>
              <w:rPr>
                <w:rFonts w:ascii="Times New Roman" w:hAnsi="Times New Roman" w:cs="Times New Roman"/>
                <w:sz w:val="20"/>
                <w:szCs w:val="20"/>
                <w:lang w:val="en-US"/>
              </w:rPr>
            </w:pPr>
            <w:r w:rsidRPr="00CA6AE8">
              <w:rPr>
                <w:rFonts w:ascii="Times New Roman" w:hAnsi="Times New Roman" w:cs="Times New Roman"/>
                <w:sz w:val="20"/>
                <w:szCs w:val="20"/>
                <w:lang w:val="en-US"/>
              </w:rPr>
              <w:t>DIW-2013</w:t>
            </w:r>
          </w:p>
          <w:p w:rsidR="00950BDF" w:rsidRPr="00CA6AE8" w:rsidRDefault="00950BDF" w:rsidP="002C6255">
            <w:pPr>
              <w:spacing w:after="0" w:line="240" w:lineRule="auto"/>
              <w:rPr>
                <w:rFonts w:ascii="Times New Roman" w:hAnsi="Times New Roman" w:cs="Times New Roman"/>
                <w:sz w:val="20"/>
                <w:szCs w:val="20"/>
                <w:lang w:val="en-US"/>
              </w:rPr>
            </w:pPr>
            <w:r w:rsidRPr="00CA6AE8">
              <w:rPr>
                <w:rFonts w:ascii="Times New Roman" w:hAnsi="Times New Roman" w:cs="Times New Roman"/>
                <w:sz w:val="20"/>
                <w:szCs w:val="20"/>
              </w:rPr>
              <w:t>MacDonald, M., 2010. UK</w:t>
            </w:r>
            <w:r w:rsidR="000A609E">
              <w:rPr>
                <w:rFonts w:ascii="Times New Roman" w:hAnsi="Times New Roman" w:cs="Times New Roman"/>
                <w:sz w:val="20"/>
                <w:szCs w:val="20"/>
              </w:rPr>
              <w:t xml:space="preserve"> </w:t>
            </w:r>
            <w:r w:rsidRPr="00CA6AE8">
              <w:rPr>
                <w:rFonts w:ascii="Times New Roman" w:hAnsi="Times New Roman" w:cs="Times New Roman"/>
                <w:sz w:val="20"/>
                <w:szCs w:val="20"/>
              </w:rPr>
              <w:t>Electricity</w:t>
            </w:r>
            <w:r w:rsidR="000A609E">
              <w:rPr>
                <w:rFonts w:ascii="Times New Roman" w:hAnsi="Times New Roman" w:cs="Times New Roman"/>
                <w:sz w:val="20"/>
                <w:szCs w:val="20"/>
              </w:rPr>
              <w:t xml:space="preserve"> </w:t>
            </w:r>
            <w:r w:rsidRPr="00CA6AE8">
              <w:rPr>
                <w:rFonts w:ascii="Times New Roman" w:hAnsi="Times New Roman" w:cs="Times New Roman"/>
                <w:sz w:val="20"/>
                <w:szCs w:val="20"/>
              </w:rPr>
              <w:t>Generation</w:t>
            </w:r>
            <w:r w:rsidR="000A609E">
              <w:rPr>
                <w:rFonts w:ascii="Times New Roman" w:hAnsi="Times New Roman" w:cs="Times New Roman"/>
                <w:sz w:val="20"/>
                <w:szCs w:val="20"/>
              </w:rPr>
              <w:t xml:space="preserve"> </w:t>
            </w:r>
            <w:r w:rsidRPr="00CA6AE8">
              <w:rPr>
                <w:rFonts w:ascii="Times New Roman" w:hAnsi="Times New Roman" w:cs="Times New Roman"/>
                <w:sz w:val="20"/>
                <w:szCs w:val="20"/>
              </w:rPr>
              <w:t>Costs</w:t>
            </w:r>
            <w:r w:rsidR="000A609E">
              <w:rPr>
                <w:rFonts w:ascii="Times New Roman" w:hAnsi="Times New Roman" w:cs="Times New Roman"/>
                <w:sz w:val="20"/>
                <w:szCs w:val="20"/>
              </w:rPr>
              <w:t xml:space="preserve"> </w:t>
            </w:r>
            <w:r w:rsidRPr="00CA6AE8">
              <w:rPr>
                <w:rFonts w:ascii="Times New Roman" w:hAnsi="Times New Roman" w:cs="Times New Roman"/>
                <w:sz w:val="20"/>
                <w:szCs w:val="20"/>
              </w:rPr>
              <w:t>Update, Brighton</w:t>
            </w:r>
            <w:r w:rsidRPr="00CA6AE8">
              <w:rPr>
                <w:rFonts w:ascii="Times New Roman" w:hAnsi="Times New Roman" w:cs="Times New Roman"/>
                <w:sz w:val="20"/>
                <w:szCs w:val="20"/>
                <w:lang w:val="en-US"/>
              </w:rPr>
              <w:t xml:space="preserve"> - O&amp;M Total</w:t>
            </w:r>
          </w:p>
        </w:tc>
        <w:tc>
          <w:tcPr>
            <w:tcW w:w="1809" w:type="dxa"/>
            <w:tcBorders>
              <w:left w:val="single" w:sz="12" w:space="0" w:color="auto"/>
            </w:tcBorders>
            <w:shd w:val="clear" w:color="auto" w:fill="auto"/>
          </w:tcPr>
          <w:p w:rsidR="00950BDF" w:rsidRPr="00CA6AE8" w:rsidRDefault="00950BDF" w:rsidP="00641D24">
            <w:pPr>
              <w:spacing w:after="0" w:line="240" w:lineRule="auto"/>
              <w:ind w:right="567"/>
              <w:jc w:val="right"/>
              <w:rPr>
                <w:rFonts w:ascii="Times New Roman" w:hAnsi="Times New Roman" w:cs="Times New Roman"/>
                <w:sz w:val="20"/>
                <w:szCs w:val="20"/>
                <w:lang w:val="en-US"/>
              </w:rPr>
            </w:pPr>
            <w:r w:rsidRPr="00CA6AE8">
              <w:rPr>
                <w:rFonts w:ascii="Times New Roman" w:hAnsi="Times New Roman" w:cs="Times New Roman"/>
                <w:sz w:val="20"/>
                <w:szCs w:val="20"/>
                <w:lang w:val="en-US"/>
              </w:rPr>
              <w:t>16</w:t>
            </w:r>
            <w:r w:rsidR="00E6666C">
              <w:rPr>
                <w:rFonts w:ascii="Times New Roman" w:hAnsi="Times New Roman" w:cs="Times New Roman"/>
                <w:sz w:val="20"/>
                <w:szCs w:val="20"/>
                <w:lang w:val="en-US"/>
              </w:rPr>
              <w:t>,</w:t>
            </w:r>
            <w:r w:rsidRPr="00CA6AE8">
              <w:rPr>
                <w:rFonts w:ascii="Times New Roman" w:hAnsi="Times New Roman" w:cs="Times New Roman"/>
                <w:sz w:val="20"/>
                <w:szCs w:val="20"/>
                <w:lang w:val="en-US"/>
              </w:rPr>
              <w:t>1</w:t>
            </w:r>
          </w:p>
        </w:tc>
      </w:tr>
      <w:tr w:rsidR="00950BDF" w:rsidRPr="00CA6AE8" w:rsidTr="00641D24">
        <w:tc>
          <w:tcPr>
            <w:tcW w:w="7479" w:type="dxa"/>
            <w:tcBorders>
              <w:top w:val="single" w:sz="4" w:space="0" w:color="auto"/>
              <w:bottom w:val="single" w:sz="12" w:space="0" w:color="auto"/>
              <w:right w:val="single" w:sz="12" w:space="0" w:color="auto"/>
            </w:tcBorders>
            <w:shd w:val="clear" w:color="auto" w:fill="auto"/>
          </w:tcPr>
          <w:p w:rsidR="00950BDF" w:rsidRPr="00CA6AE8" w:rsidRDefault="00950BDF" w:rsidP="002C6255">
            <w:pPr>
              <w:spacing w:after="0" w:line="240" w:lineRule="auto"/>
              <w:rPr>
                <w:rFonts w:ascii="Times New Roman" w:hAnsi="Times New Roman" w:cs="Times New Roman"/>
                <w:sz w:val="20"/>
                <w:szCs w:val="20"/>
                <w:lang w:val="en-US"/>
              </w:rPr>
            </w:pPr>
            <w:r w:rsidRPr="00CA6AE8">
              <w:rPr>
                <w:rFonts w:ascii="Times New Roman" w:hAnsi="Times New Roman" w:cs="Times New Roman"/>
                <w:sz w:val="20"/>
                <w:szCs w:val="20"/>
                <w:lang w:val="en-US"/>
              </w:rPr>
              <w:t>DIW-2013</w:t>
            </w:r>
          </w:p>
          <w:p w:rsidR="00950BDF" w:rsidRPr="00CA6AE8" w:rsidRDefault="00950BDF" w:rsidP="002C6255">
            <w:pPr>
              <w:spacing w:after="0" w:line="240" w:lineRule="auto"/>
              <w:rPr>
                <w:rFonts w:ascii="Times New Roman" w:hAnsi="Times New Roman" w:cs="Times New Roman"/>
                <w:sz w:val="20"/>
                <w:szCs w:val="20"/>
                <w:lang w:val="en-US"/>
              </w:rPr>
            </w:pPr>
            <w:r w:rsidRPr="00CA6AE8">
              <w:rPr>
                <w:rFonts w:ascii="Times New Roman" w:hAnsi="Times New Roman" w:cs="Times New Roman"/>
                <w:sz w:val="20"/>
                <w:szCs w:val="20"/>
              </w:rPr>
              <w:t>EIA, 2011. Annual Energy Outlook, Washington DC: U.S. Energy Information</w:t>
            </w:r>
            <w:r w:rsidR="000A609E">
              <w:rPr>
                <w:rFonts w:ascii="Times New Roman" w:hAnsi="Times New Roman" w:cs="Times New Roman"/>
                <w:sz w:val="20"/>
                <w:szCs w:val="20"/>
              </w:rPr>
              <w:t xml:space="preserve"> </w:t>
            </w:r>
            <w:r w:rsidRPr="00CA6AE8">
              <w:rPr>
                <w:rFonts w:ascii="Times New Roman" w:hAnsi="Times New Roman" w:cs="Times New Roman"/>
                <w:sz w:val="20"/>
                <w:szCs w:val="20"/>
              </w:rPr>
              <w:t>Administration</w:t>
            </w:r>
          </w:p>
        </w:tc>
        <w:tc>
          <w:tcPr>
            <w:tcW w:w="1809" w:type="dxa"/>
            <w:tcBorders>
              <w:left w:val="single" w:sz="12" w:space="0" w:color="auto"/>
            </w:tcBorders>
            <w:shd w:val="clear" w:color="auto" w:fill="auto"/>
          </w:tcPr>
          <w:p w:rsidR="00950BDF" w:rsidRPr="00CA6AE8" w:rsidRDefault="00950BDF" w:rsidP="00641D24">
            <w:pPr>
              <w:spacing w:after="0" w:line="240" w:lineRule="auto"/>
              <w:ind w:right="567"/>
              <w:jc w:val="right"/>
              <w:rPr>
                <w:rFonts w:ascii="Times New Roman" w:hAnsi="Times New Roman" w:cs="Times New Roman"/>
                <w:sz w:val="20"/>
                <w:szCs w:val="20"/>
                <w:lang w:val="en-US"/>
              </w:rPr>
            </w:pPr>
            <w:r w:rsidRPr="00CA6AE8">
              <w:rPr>
                <w:rFonts w:ascii="Times New Roman" w:hAnsi="Times New Roman" w:cs="Times New Roman"/>
                <w:sz w:val="20"/>
                <w:szCs w:val="20"/>
                <w:lang w:val="en-US"/>
              </w:rPr>
              <w:t>16</w:t>
            </w:r>
            <w:r w:rsidR="00E6666C">
              <w:rPr>
                <w:rFonts w:ascii="Times New Roman" w:hAnsi="Times New Roman" w:cs="Times New Roman"/>
                <w:sz w:val="20"/>
                <w:szCs w:val="20"/>
                <w:lang w:val="en-US"/>
              </w:rPr>
              <w:t>,</w:t>
            </w:r>
            <w:r w:rsidRPr="00CA6AE8">
              <w:rPr>
                <w:rFonts w:ascii="Times New Roman" w:hAnsi="Times New Roman" w:cs="Times New Roman"/>
                <w:sz w:val="20"/>
                <w:szCs w:val="20"/>
                <w:lang w:val="en-US"/>
              </w:rPr>
              <w:t>4</w:t>
            </w:r>
          </w:p>
        </w:tc>
      </w:tr>
    </w:tbl>
    <w:p w:rsidR="00950BDF" w:rsidRPr="00CA6AE8" w:rsidRDefault="00950BDF" w:rsidP="00E44C19">
      <w:pPr>
        <w:spacing w:before="120" w:after="120" w:line="240" w:lineRule="auto"/>
        <w:jc w:val="center"/>
        <w:rPr>
          <w:rFonts w:ascii="Times New Roman" w:hAnsi="Times New Roman" w:cs="Times New Roman"/>
          <w:sz w:val="20"/>
          <w:szCs w:val="24"/>
        </w:rPr>
      </w:pPr>
      <w:r w:rsidRPr="00CA6AE8">
        <w:rPr>
          <w:rFonts w:ascii="Times New Roman" w:hAnsi="Times New Roman" w:cs="Times New Roman"/>
          <w:sz w:val="20"/>
          <w:szCs w:val="24"/>
        </w:rPr>
        <w:t>Източник: Съставена от авторите по данни от посочените източници.</w:t>
      </w:r>
    </w:p>
    <w:p w:rsidR="00950BDF" w:rsidRPr="00950BDF" w:rsidRDefault="00950BDF" w:rsidP="00E44C19">
      <w:pPr>
        <w:spacing w:before="120" w:after="120" w:line="240" w:lineRule="auto"/>
        <w:rPr>
          <w:rFonts w:ascii="Times New Roman" w:hAnsi="Times New Roman" w:cs="Times New Roman"/>
          <w:i/>
          <w:sz w:val="24"/>
          <w:szCs w:val="24"/>
        </w:rPr>
      </w:pPr>
    </w:p>
    <w:p w:rsidR="00950BDF" w:rsidRPr="00F71484" w:rsidRDefault="00950BDF" w:rsidP="00E44C19">
      <w:pPr>
        <w:spacing w:before="120" w:after="120" w:line="240" w:lineRule="auto"/>
        <w:rPr>
          <w:rFonts w:ascii="Times New Roman" w:hAnsi="Times New Roman" w:cs="Times New Roman"/>
          <w:sz w:val="24"/>
          <w:szCs w:val="24"/>
          <w:u w:val="single"/>
          <w:lang w:val="en-US"/>
        </w:rPr>
      </w:pPr>
      <w:r w:rsidRPr="00F71484">
        <w:rPr>
          <w:rFonts w:ascii="Times New Roman" w:hAnsi="Times New Roman" w:cs="Times New Roman"/>
          <w:sz w:val="24"/>
          <w:szCs w:val="24"/>
          <w:u w:val="single"/>
        </w:rPr>
        <w:t>Разходи за ядрено гориво</w:t>
      </w:r>
    </w:p>
    <w:p w:rsidR="00950BDF" w:rsidRDefault="00950BDF" w:rsidP="002C6255">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Еталонните стойности на разходите за ядрено гориво са събрани след проучване на различни практики и източници</w:t>
      </w:r>
      <w:r w:rsidR="00F71484">
        <w:rPr>
          <w:rFonts w:ascii="Times New Roman" w:hAnsi="Times New Roman" w:cs="Times New Roman"/>
          <w:sz w:val="24"/>
          <w:szCs w:val="24"/>
        </w:rPr>
        <w:t xml:space="preserve"> (вж. </w:t>
      </w:r>
      <w:r w:rsidR="002C6255">
        <w:rPr>
          <w:rFonts w:ascii="Times New Roman" w:hAnsi="Times New Roman" w:cs="Times New Roman"/>
          <w:sz w:val="24"/>
          <w:szCs w:val="24"/>
        </w:rPr>
        <w:t xml:space="preserve">табл. </w:t>
      </w:r>
      <w:r w:rsidR="002C6255" w:rsidRPr="00E44C19">
        <w:rPr>
          <w:rFonts w:ascii="Times New Roman" w:hAnsi="Times New Roman" w:cs="Times New Roman"/>
          <w:sz w:val="24"/>
          <w:szCs w:val="24"/>
          <w:lang w:val="en-US"/>
        </w:rPr>
        <w:t>V.</w:t>
      </w:r>
      <w:r w:rsidR="002C6255">
        <w:rPr>
          <w:rFonts w:ascii="Times New Roman" w:hAnsi="Times New Roman" w:cs="Times New Roman"/>
          <w:sz w:val="24"/>
          <w:szCs w:val="24"/>
        </w:rPr>
        <w:t>1</w:t>
      </w:r>
      <w:r w:rsidR="00FB17F2">
        <w:rPr>
          <w:rFonts w:ascii="Times New Roman" w:hAnsi="Times New Roman" w:cs="Times New Roman"/>
          <w:sz w:val="24"/>
          <w:szCs w:val="24"/>
        </w:rPr>
        <w:t>3</w:t>
      </w:r>
      <w:r w:rsidR="00F71484">
        <w:rPr>
          <w:rFonts w:ascii="Times New Roman" w:hAnsi="Times New Roman" w:cs="Times New Roman"/>
          <w:sz w:val="24"/>
          <w:szCs w:val="24"/>
        </w:rPr>
        <w:t>)</w:t>
      </w:r>
      <w:r w:rsidRPr="00950BDF">
        <w:rPr>
          <w:rFonts w:ascii="Times New Roman" w:hAnsi="Times New Roman" w:cs="Times New Roman"/>
          <w:sz w:val="24"/>
          <w:szCs w:val="24"/>
        </w:rPr>
        <w:t>.</w:t>
      </w:r>
    </w:p>
    <w:p w:rsidR="00233DB8" w:rsidRPr="00950BDF" w:rsidRDefault="00233DB8" w:rsidP="00233DB8">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Разходите за гориво в модела за АЕЦ „Белене“ за 2030-2039 г. са 4</w:t>
      </w:r>
      <w:r>
        <w:rPr>
          <w:rFonts w:ascii="Times New Roman" w:hAnsi="Times New Roman" w:cs="Times New Roman"/>
          <w:sz w:val="24"/>
          <w:szCs w:val="24"/>
        </w:rPr>
        <w:t>.</w:t>
      </w:r>
      <w:r w:rsidRPr="00950BDF">
        <w:rPr>
          <w:rFonts w:ascii="Times New Roman" w:hAnsi="Times New Roman" w:cs="Times New Roman"/>
          <w:sz w:val="24"/>
          <w:szCs w:val="24"/>
        </w:rPr>
        <w:t>72 евро/mWh, което е на долната граница на еталонните стойности. По този начин се доказва, че приетите разходи за гориво в модела са обосновани от международната практика.</w:t>
      </w:r>
    </w:p>
    <w:p w:rsidR="00233DB8" w:rsidRDefault="00233DB8" w:rsidP="002C6255">
      <w:pPr>
        <w:spacing w:before="120" w:after="120" w:line="240" w:lineRule="auto"/>
        <w:jc w:val="both"/>
        <w:rPr>
          <w:rFonts w:ascii="Times New Roman" w:hAnsi="Times New Roman" w:cs="Times New Roman"/>
          <w:sz w:val="24"/>
          <w:szCs w:val="24"/>
        </w:rPr>
      </w:pPr>
    </w:p>
    <w:p w:rsidR="00233DB8" w:rsidRDefault="00233DB8" w:rsidP="002C6255">
      <w:pPr>
        <w:spacing w:before="120" w:after="120" w:line="240" w:lineRule="auto"/>
        <w:jc w:val="both"/>
        <w:rPr>
          <w:rFonts w:ascii="Times New Roman" w:hAnsi="Times New Roman" w:cs="Times New Roman"/>
          <w:sz w:val="24"/>
          <w:szCs w:val="24"/>
        </w:rPr>
      </w:pPr>
    </w:p>
    <w:p w:rsidR="00233DB8" w:rsidRDefault="00233DB8" w:rsidP="002C6255">
      <w:pPr>
        <w:spacing w:before="120" w:after="120" w:line="240" w:lineRule="auto"/>
        <w:jc w:val="both"/>
        <w:rPr>
          <w:rFonts w:ascii="Times New Roman" w:hAnsi="Times New Roman" w:cs="Times New Roman"/>
          <w:sz w:val="24"/>
          <w:szCs w:val="24"/>
        </w:rPr>
      </w:pPr>
    </w:p>
    <w:p w:rsidR="00233DB8" w:rsidRDefault="00233DB8" w:rsidP="002C6255">
      <w:pPr>
        <w:spacing w:before="120" w:after="120" w:line="240" w:lineRule="auto"/>
        <w:jc w:val="both"/>
        <w:rPr>
          <w:rFonts w:ascii="Times New Roman" w:hAnsi="Times New Roman" w:cs="Times New Roman"/>
          <w:sz w:val="24"/>
          <w:szCs w:val="24"/>
        </w:rPr>
      </w:pPr>
    </w:p>
    <w:p w:rsidR="00233DB8" w:rsidRPr="00950BDF" w:rsidRDefault="00233DB8" w:rsidP="002C6255">
      <w:pPr>
        <w:spacing w:before="120" w:after="120" w:line="240" w:lineRule="auto"/>
        <w:jc w:val="both"/>
        <w:rPr>
          <w:rFonts w:ascii="Times New Roman" w:hAnsi="Times New Roman" w:cs="Times New Roman"/>
          <w:sz w:val="24"/>
          <w:szCs w:val="24"/>
        </w:rPr>
      </w:pPr>
    </w:p>
    <w:p w:rsidR="00950BDF" w:rsidRPr="00FB17F2" w:rsidRDefault="00FB17F2" w:rsidP="00E44C19">
      <w:pPr>
        <w:pStyle w:val="Caption"/>
        <w:rPr>
          <w:rFonts w:ascii="Times New Roman" w:hAnsi="Times New Roman"/>
          <w:szCs w:val="24"/>
        </w:rPr>
      </w:pPr>
      <w:bookmarkStart w:id="149" w:name="_Toc491990983"/>
      <w:bookmarkStart w:id="150" w:name="_Toc491994418"/>
      <w:bookmarkStart w:id="151" w:name="_Toc493240909"/>
      <w:r w:rsidRPr="00FB17F2">
        <w:rPr>
          <w:rFonts w:hint="eastAsia"/>
        </w:rPr>
        <w:t>Таблица</w:t>
      </w:r>
      <w:r w:rsidRPr="00FB17F2">
        <w:t xml:space="preserve"> V.</w:t>
      </w:r>
      <w:r w:rsidR="0097530B">
        <w:fldChar w:fldCharType="begin"/>
      </w:r>
      <w:r w:rsidR="00042F89">
        <w:instrText xml:space="preserve"> SEQ Таблица_V. \* ARABIC </w:instrText>
      </w:r>
      <w:r w:rsidR="0097530B">
        <w:fldChar w:fldCharType="separate"/>
      </w:r>
      <w:r w:rsidR="00F44EBF">
        <w:rPr>
          <w:noProof/>
        </w:rPr>
        <w:t>13</w:t>
      </w:r>
      <w:r w:rsidR="0097530B">
        <w:rPr>
          <w:noProof/>
        </w:rPr>
        <w:fldChar w:fldCharType="end"/>
      </w:r>
      <w:r w:rsidRPr="00FB17F2">
        <w:rPr>
          <w:rFonts w:asciiTheme="minorHAnsi" w:hAnsiTheme="minorHAnsi"/>
        </w:rPr>
        <w:t xml:space="preserve">. </w:t>
      </w:r>
      <w:r w:rsidR="00950BDF" w:rsidRPr="00FB17F2">
        <w:rPr>
          <w:rFonts w:ascii="Times New Roman" w:hAnsi="Times New Roman"/>
          <w:szCs w:val="24"/>
        </w:rPr>
        <w:t>Еталонни стойности за разходите за ядрено гориво</w:t>
      </w:r>
      <w:bookmarkEnd w:id="149"/>
      <w:bookmarkEnd w:id="150"/>
      <w:bookmarkEnd w:id="151"/>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40"/>
        <w:gridCol w:w="2348"/>
      </w:tblGrid>
      <w:tr w:rsidR="00950BDF" w:rsidRPr="002C6255" w:rsidTr="00A16FA9">
        <w:trPr>
          <w:tblHeader/>
        </w:trPr>
        <w:tc>
          <w:tcPr>
            <w:tcW w:w="0" w:type="auto"/>
            <w:tcBorders>
              <w:top w:val="single" w:sz="12" w:space="0" w:color="auto"/>
              <w:bottom w:val="single" w:sz="12" w:space="0" w:color="auto"/>
              <w:right w:val="single" w:sz="12" w:space="0" w:color="auto"/>
            </w:tcBorders>
            <w:shd w:val="clear" w:color="auto" w:fill="D9D9D9"/>
            <w:vAlign w:val="center"/>
          </w:tcPr>
          <w:p w:rsidR="00950BDF" w:rsidRPr="002C6255" w:rsidRDefault="00950BDF" w:rsidP="00E44C19">
            <w:pPr>
              <w:spacing w:after="0" w:line="240" w:lineRule="auto"/>
              <w:jc w:val="center"/>
              <w:rPr>
                <w:rFonts w:ascii="Times New Roman" w:hAnsi="Times New Roman" w:cs="Times New Roman"/>
                <w:b/>
                <w:sz w:val="20"/>
                <w:szCs w:val="24"/>
                <w:lang w:val="en-US"/>
              </w:rPr>
            </w:pPr>
            <w:r w:rsidRPr="002C6255">
              <w:rPr>
                <w:rFonts w:ascii="Times New Roman" w:hAnsi="Times New Roman" w:cs="Times New Roman"/>
                <w:b/>
                <w:sz w:val="20"/>
                <w:szCs w:val="24"/>
              </w:rPr>
              <w:t xml:space="preserve">Източник на информацията за разходи за ядрено гориво  </w:t>
            </w:r>
          </w:p>
        </w:tc>
        <w:tc>
          <w:tcPr>
            <w:tcW w:w="0" w:type="auto"/>
            <w:tcBorders>
              <w:left w:val="single" w:sz="12" w:space="0" w:color="auto"/>
              <w:bottom w:val="single" w:sz="12" w:space="0" w:color="auto"/>
            </w:tcBorders>
            <w:shd w:val="clear" w:color="auto" w:fill="D9D9D9"/>
            <w:vAlign w:val="center"/>
          </w:tcPr>
          <w:p w:rsidR="00950BDF" w:rsidRPr="002C6255" w:rsidRDefault="00950BDF" w:rsidP="00E44C19">
            <w:pPr>
              <w:spacing w:after="0" w:line="240" w:lineRule="auto"/>
              <w:jc w:val="center"/>
              <w:rPr>
                <w:rFonts w:ascii="Times New Roman" w:hAnsi="Times New Roman" w:cs="Times New Roman"/>
                <w:b/>
                <w:sz w:val="20"/>
                <w:szCs w:val="24"/>
              </w:rPr>
            </w:pPr>
            <w:r w:rsidRPr="002C6255">
              <w:rPr>
                <w:rFonts w:ascii="Times New Roman" w:hAnsi="Times New Roman" w:cs="Times New Roman"/>
                <w:b/>
                <w:sz w:val="20"/>
                <w:szCs w:val="24"/>
              </w:rPr>
              <w:t>Средна стойност(евро/</w:t>
            </w:r>
            <w:r w:rsidRPr="002C6255">
              <w:rPr>
                <w:rFonts w:ascii="Times New Roman" w:hAnsi="Times New Roman" w:cs="Times New Roman"/>
                <w:b/>
                <w:sz w:val="20"/>
                <w:szCs w:val="24"/>
                <w:lang w:val="en-US"/>
              </w:rPr>
              <w:t>MWh)</w:t>
            </w:r>
          </w:p>
        </w:tc>
      </w:tr>
      <w:tr w:rsidR="00950BDF" w:rsidRPr="002C6255" w:rsidTr="00A16FA9">
        <w:tc>
          <w:tcPr>
            <w:tcW w:w="0" w:type="auto"/>
            <w:tcBorders>
              <w:top w:val="single" w:sz="12" w:space="0" w:color="auto"/>
              <w:bottom w:val="single" w:sz="4" w:space="0" w:color="auto"/>
              <w:right w:val="single" w:sz="12" w:space="0" w:color="auto"/>
            </w:tcBorders>
            <w:shd w:val="clear" w:color="auto" w:fill="auto"/>
          </w:tcPr>
          <w:p w:rsidR="00950BDF" w:rsidRPr="002C6255" w:rsidRDefault="00950BDF" w:rsidP="00E44C19">
            <w:pPr>
              <w:spacing w:after="0" w:line="240" w:lineRule="auto"/>
              <w:rPr>
                <w:rFonts w:ascii="Times New Roman" w:hAnsi="Times New Roman" w:cs="Times New Roman"/>
                <w:sz w:val="20"/>
                <w:szCs w:val="24"/>
                <w:lang w:val="en-US"/>
              </w:rPr>
            </w:pPr>
            <w:r w:rsidRPr="002C6255">
              <w:rPr>
                <w:rFonts w:ascii="Times New Roman" w:hAnsi="Times New Roman" w:cs="Times New Roman"/>
                <w:sz w:val="20"/>
                <w:szCs w:val="24"/>
              </w:rPr>
              <w:t>NEI, 2010. U.S. Electricity</w:t>
            </w:r>
            <w:r w:rsidR="000A609E">
              <w:rPr>
                <w:rFonts w:ascii="Times New Roman" w:hAnsi="Times New Roman" w:cs="Times New Roman"/>
                <w:sz w:val="20"/>
                <w:szCs w:val="24"/>
              </w:rPr>
              <w:t xml:space="preserve"> </w:t>
            </w:r>
            <w:r w:rsidRPr="002C6255">
              <w:rPr>
                <w:rFonts w:ascii="Times New Roman" w:hAnsi="Times New Roman" w:cs="Times New Roman"/>
                <w:sz w:val="20"/>
                <w:szCs w:val="24"/>
              </w:rPr>
              <w:t>Production</w:t>
            </w:r>
            <w:r w:rsidR="000A609E">
              <w:rPr>
                <w:rFonts w:ascii="Times New Roman" w:hAnsi="Times New Roman" w:cs="Times New Roman"/>
                <w:sz w:val="20"/>
                <w:szCs w:val="24"/>
              </w:rPr>
              <w:t xml:space="preserve"> </w:t>
            </w:r>
            <w:r w:rsidRPr="002C6255">
              <w:rPr>
                <w:rFonts w:ascii="Times New Roman" w:hAnsi="Times New Roman" w:cs="Times New Roman"/>
                <w:sz w:val="20"/>
                <w:szCs w:val="24"/>
              </w:rPr>
              <w:t>Costs</w:t>
            </w:r>
            <w:r w:rsidR="000A609E">
              <w:rPr>
                <w:rFonts w:ascii="Times New Roman" w:hAnsi="Times New Roman" w:cs="Times New Roman"/>
                <w:sz w:val="20"/>
                <w:szCs w:val="24"/>
              </w:rPr>
              <w:t xml:space="preserve"> </w:t>
            </w:r>
            <w:r w:rsidRPr="002C6255">
              <w:rPr>
                <w:rFonts w:ascii="Times New Roman" w:hAnsi="Times New Roman" w:cs="Times New Roman"/>
                <w:sz w:val="20"/>
                <w:szCs w:val="24"/>
              </w:rPr>
              <w:t>and</w:t>
            </w:r>
            <w:r w:rsidR="000A609E">
              <w:rPr>
                <w:rFonts w:ascii="Times New Roman" w:hAnsi="Times New Roman" w:cs="Times New Roman"/>
                <w:sz w:val="20"/>
                <w:szCs w:val="24"/>
              </w:rPr>
              <w:t xml:space="preserve"> </w:t>
            </w:r>
            <w:r w:rsidRPr="002C6255">
              <w:rPr>
                <w:rFonts w:ascii="Times New Roman" w:hAnsi="Times New Roman" w:cs="Times New Roman"/>
                <w:sz w:val="20"/>
                <w:szCs w:val="24"/>
              </w:rPr>
              <w:t>Components, Nuclear Energy Institute</w:t>
            </w:r>
          </w:p>
        </w:tc>
        <w:tc>
          <w:tcPr>
            <w:tcW w:w="0" w:type="auto"/>
            <w:tcBorders>
              <w:top w:val="single" w:sz="12" w:space="0" w:color="auto"/>
              <w:left w:val="single" w:sz="12" w:space="0" w:color="auto"/>
              <w:bottom w:val="single" w:sz="4" w:space="0" w:color="auto"/>
            </w:tcBorders>
            <w:shd w:val="clear" w:color="auto" w:fill="auto"/>
          </w:tcPr>
          <w:p w:rsidR="00950BDF" w:rsidRPr="002C6255" w:rsidRDefault="00950BDF" w:rsidP="00A16FA9">
            <w:pPr>
              <w:spacing w:after="0" w:line="240" w:lineRule="auto"/>
              <w:jc w:val="center"/>
              <w:rPr>
                <w:rFonts w:ascii="Times New Roman" w:hAnsi="Times New Roman" w:cs="Times New Roman"/>
                <w:sz w:val="20"/>
                <w:szCs w:val="24"/>
                <w:lang w:val="en-US"/>
              </w:rPr>
            </w:pPr>
            <w:r w:rsidRPr="002C6255">
              <w:rPr>
                <w:rFonts w:ascii="Times New Roman" w:hAnsi="Times New Roman" w:cs="Times New Roman"/>
                <w:sz w:val="20"/>
                <w:szCs w:val="24"/>
                <w:lang w:val="en-US"/>
              </w:rPr>
              <w:t>4</w:t>
            </w:r>
            <w:r w:rsidR="00E6666C">
              <w:rPr>
                <w:rFonts w:ascii="Times New Roman" w:hAnsi="Times New Roman" w:cs="Times New Roman"/>
                <w:sz w:val="20"/>
                <w:szCs w:val="24"/>
                <w:lang w:val="en-US"/>
              </w:rPr>
              <w:t>,</w:t>
            </w:r>
            <w:r w:rsidRPr="002C6255">
              <w:rPr>
                <w:rFonts w:ascii="Times New Roman" w:hAnsi="Times New Roman" w:cs="Times New Roman"/>
                <w:sz w:val="20"/>
                <w:szCs w:val="24"/>
                <w:lang w:val="en-US"/>
              </w:rPr>
              <w:t>7</w:t>
            </w:r>
          </w:p>
        </w:tc>
      </w:tr>
      <w:tr w:rsidR="00950BDF" w:rsidRPr="002C6255" w:rsidTr="00A16FA9">
        <w:tc>
          <w:tcPr>
            <w:tcW w:w="0" w:type="auto"/>
            <w:tcBorders>
              <w:top w:val="single" w:sz="4" w:space="0" w:color="auto"/>
              <w:bottom w:val="single" w:sz="4" w:space="0" w:color="auto"/>
              <w:right w:val="single" w:sz="12" w:space="0" w:color="auto"/>
            </w:tcBorders>
            <w:shd w:val="clear" w:color="auto" w:fill="auto"/>
          </w:tcPr>
          <w:p w:rsidR="00950BDF" w:rsidRPr="002C6255" w:rsidRDefault="00950BDF" w:rsidP="00E44C19">
            <w:pPr>
              <w:spacing w:after="0" w:line="240" w:lineRule="auto"/>
              <w:rPr>
                <w:rFonts w:ascii="Times New Roman" w:hAnsi="Times New Roman" w:cs="Times New Roman"/>
                <w:sz w:val="20"/>
                <w:szCs w:val="24"/>
                <w:lang w:val="en-US"/>
              </w:rPr>
            </w:pPr>
            <w:r w:rsidRPr="002C6255">
              <w:rPr>
                <w:rFonts w:ascii="Times New Roman" w:hAnsi="Times New Roman" w:cs="Times New Roman"/>
                <w:sz w:val="20"/>
                <w:szCs w:val="24"/>
                <w:lang w:val="en-US"/>
              </w:rPr>
              <w:t xml:space="preserve">DIW-2013 </w:t>
            </w:r>
          </w:p>
          <w:p w:rsidR="00950BDF" w:rsidRPr="002C6255" w:rsidRDefault="00950BDF" w:rsidP="00E44C19">
            <w:pPr>
              <w:spacing w:after="0" w:line="240" w:lineRule="auto"/>
              <w:rPr>
                <w:rFonts w:ascii="Times New Roman" w:hAnsi="Times New Roman" w:cs="Times New Roman"/>
                <w:sz w:val="20"/>
                <w:szCs w:val="24"/>
                <w:lang w:val="en-US"/>
              </w:rPr>
            </w:pPr>
            <w:r w:rsidRPr="002C6255">
              <w:rPr>
                <w:rFonts w:ascii="Times New Roman" w:hAnsi="Times New Roman" w:cs="Times New Roman"/>
                <w:sz w:val="20"/>
                <w:szCs w:val="24"/>
                <w:lang w:val="en-US"/>
              </w:rPr>
              <w:t xml:space="preserve">IEA Fuel </w:t>
            </w:r>
          </w:p>
        </w:tc>
        <w:tc>
          <w:tcPr>
            <w:tcW w:w="0" w:type="auto"/>
            <w:tcBorders>
              <w:top w:val="single" w:sz="4" w:space="0" w:color="auto"/>
              <w:left w:val="single" w:sz="12" w:space="0" w:color="auto"/>
            </w:tcBorders>
            <w:shd w:val="clear" w:color="auto" w:fill="auto"/>
          </w:tcPr>
          <w:p w:rsidR="00950BDF" w:rsidRPr="002C6255" w:rsidRDefault="00950BDF" w:rsidP="00A16FA9">
            <w:pPr>
              <w:spacing w:after="0" w:line="240" w:lineRule="auto"/>
              <w:jc w:val="center"/>
              <w:rPr>
                <w:rFonts w:ascii="Times New Roman" w:hAnsi="Times New Roman" w:cs="Times New Roman"/>
                <w:sz w:val="20"/>
                <w:szCs w:val="24"/>
                <w:lang w:val="en-US"/>
              </w:rPr>
            </w:pPr>
            <w:r w:rsidRPr="002C6255">
              <w:rPr>
                <w:rFonts w:ascii="Times New Roman" w:hAnsi="Times New Roman" w:cs="Times New Roman"/>
                <w:sz w:val="20"/>
                <w:szCs w:val="24"/>
                <w:lang w:val="en-US"/>
              </w:rPr>
              <w:t>7</w:t>
            </w:r>
            <w:r w:rsidR="00E6666C">
              <w:rPr>
                <w:rFonts w:ascii="Times New Roman" w:hAnsi="Times New Roman" w:cs="Times New Roman"/>
                <w:sz w:val="20"/>
                <w:szCs w:val="24"/>
                <w:lang w:val="en-US"/>
              </w:rPr>
              <w:t>,</w:t>
            </w:r>
            <w:r w:rsidRPr="002C6255">
              <w:rPr>
                <w:rFonts w:ascii="Times New Roman" w:hAnsi="Times New Roman" w:cs="Times New Roman"/>
                <w:sz w:val="20"/>
                <w:szCs w:val="24"/>
                <w:lang w:val="en-US"/>
              </w:rPr>
              <w:t>0</w:t>
            </w:r>
          </w:p>
        </w:tc>
      </w:tr>
      <w:tr w:rsidR="00950BDF" w:rsidRPr="002C6255" w:rsidTr="00A16FA9">
        <w:tc>
          <w:tcPr>
            <w:tcW w:w="0" w:type="auto"/>
            <w:tcBorders>
              <w:top w:val="single" w:sz="4" w:space="0" w:color="auto"/>
              <w:bottom w:val="single" w:sz="4" w:space="0" w:color="auto"/>
              <w:right w:val="single" w:sz="12" w:space="0" w:color="auto"/>
            </w:tcBorders>
            <w:shd w:val="clear" w:color="auto" w:fill="auto"/>
          </w:tcPr>
          <w:p w:rsidR="00950BDF" w:rsidRPr="002C6255" w:rsidRDefault="00950BDF" w:rsidP="00E44C19">
            <w:pPr>
              <w:spacing w:after="0" w:line="240" w:lineRule="auto"/>
              <w:rPr>
                <w:rFonts w:ascii="Times New Roman" w:hAnsi="Times New Roman" w:cs="Times New Roman"/>
                <w:sz w:val="20"/>
                <w:szCs w:val="24"/>
                <w:lang w:val="en-US"/>
              </w:rPr>
            </w:pPr>
            <w:r w:rsidRPr="002C6255">
              <w:rPr>
                <w:rFonts w:ascii="Times New Roman" w:hAnsi="Times New Roman" w:cs="Times New Roman"/>
                <w:sz w:val="20"/>
                <w:szCs w:val="24"/>
                <w:lang w:val="en-US"/>
              </w:rPr>
              <w:t>DIW-2013</w:t>
            </w:r>
          </w:p>
          <w:p w:rsidR="00950BDF" w:rsidRPr="002C6255" w:rsidRDefault="00950BDF" w:rsidP="00E44C19">
            <w:pPr>
              <w:spacing w:after="0" w:line="240" w:lineRule="auto"/>
              <w:rPr>
                <w:rFonts w:ascii="Times New Roman" w:hAnsi="Times New Roman" w:cs="Times New Roman"/>
                <w:sz w:val="20"/>
                <w:szCs w:val="24"/>
              </w:rPr>
            </w:pPr>
            <w:r w:rsidRPr="002C6255">
              <w:rPr>
                <w:rFonts w:ascii="Times New Roman" w:hAnsi="Times New Roman" w:cs="Times New Roman"/>
                <w:sz w:val="20"/>
                <w:szCs w:val="24"/>
              </w:rPr>
              <w:t>MacDonald, M., 2010. UK</w:t>
            </w:r>
            <w:r w:rsidR="000A609E">
              <w:rPr>
                <w:rFonts w:ascii="Times New Roman" w:hAnsi="Times New Roman" w:cs="Times New Roman"/>
                <w:sz w:val="20"/>
                <w:szCs w:val="24"/>
              </w:rPr>
              <w:t xml:space="preserve"> </w:t>
            </w:r>
            <w:r w:rsidRPr="002C6255">
              <w:rPr>
                <w:rFonts w:ascii="Times New Roman" w:hAnsi="Times New Roman" w:cs="Times New Roman"/>
                <w:sz w:val="20"/>
                <w:szCs w:val="24"/>
              </w:rPr>
              <w:t>Electricity</w:t>
            </w:r>
            <w:r w:rsidR="000A609E">
              <w:rPr>
                <w:rFonts w:ascii="Times New Roman" w:hAnsi="Times New Roman" w:cs="Times New Roman"/>
                <w:sz w:val="20"/>
                <w:szCs w:val="24"/>
              </w:rPr>
              <w:t xml:space="preserve"> </w:t>
            </w:r>
            <w:r w:rsidRPr="002C6255">
              <w:rPr>
                <w:rFonts w:ascii="Times New Roman" w:hAnsi="Times New Roman" w:cs="Times New Roman"/>
                <w:sz w:val="20"/>
                <w:szCs w:val="24"/>
              </w:rPr>
              <w:t>Generation</w:t>
            </w:r>
            <w:r w:rsidR="000A609E">
              <w:rPr>
                <w:rFonts w:ascii="Times New Roman" w:hAnsi="Times New Roman" w:cs="Times New Roman"/>
                <w:sz w:val="20"/>
                <w:szCs w:val="24"/>
              </w:rPr>
              <w:t xml:space="preserve"> </w:t>
            </w:r>
            <w:r w:rsidRPr="002C6255">
              <w:rPr>
                <w:rFonts w:ascii="Times New Roman" w:hAnsi="Times New Roman" w:cs="Times New Roman"/>
                <w:sz w:val="20"/>
                <w:szCs w:val="24"/>
              </w:rPr>
              <w:t>Costs</w:t>
            </w:r>
            <w:r w:rsidR="000A609E">
              <w:rPr>
                <w:rFonts w:ascii="Times New Roman" w:hAnsi="Times New Roman" w:cs="Times New Roman"/>
                <w:sz w:val="20"/>
                <w:szCs w:val="24"/>
              </w:rPr>
              <w:t xml:space="preserve"> </w:t>
            </w:r>
            <w:r w:rsidRPr="002C6255">
              <w:rPr>
                <w:rFonts w:ascii="Times New Roman" w:hAnsi="Times New Roman" w:cs="Times New Roman"/>
                <w:sz w:val="20"/>
                <w:szCs w:val="24"/>
              </w:rPr>
              <w:t>Update, Brighton</w:t>
            </w:r>
          </w:p>
        </w:tc>
        <w:tc>
          <w:tcPr>
            <w:tcW w:w="0" w:type="auto"/>
            <w:tcBorders>
              <w:left w:val="single" w:sz="12" w:space="0" w:color="auto"/>
            </w:tcBorders>
            <w:shd w:val="clear" w:color="auto" w:fill="auto"/>
          </w:tcPr>
          <w:p w:rsidR="00950BDF" w:rsidRPr="002C6255" w:rsidRDefault="00950BDF" w:rsidP="00A16FA9">
            <w:pPr>
              <w:spacing w:after="0" w:line="240" w:lineRule="auto"/>
              <w:jc w:val="center"/>
              <w:rPr>
                <w:rFonts w:ascii="Times New Roman" w:hAnsi="Times New Roman" w:cs="Times New Roman"/>
                <w:sz w:val="20"/>
                <w:szCs w:val="24"/>
                <w:lang w:val="en-US"/>
              </w:rPr>
            </w:pPr>
            <w:r w:rsidRPr="002C6255">
              <w:rPr>
                <w:rFonts w:ascii="Times New Roman" w:hAnsi="Times New Roman" w:cs="Times New Roman"/>
                <w:sz w:val="20"/>
                <w:szCs w:val="24"/>
                <w:lang w:val="en-US"/>
              </w:rPr>
              <w:t>6</w:t>
            </w:r>
            <w:r w:rsidR="00E6666C">
              <w:rPr>
                <w:rFonts w:ascii="Times New Roman" w:hAnsi="Times New Roman" w:cs="Times New Roman"/>
                <w:sz w:val="20"/>
                <w:szCs w:val="24"/>
                <w:lang w:val="en-US"/>
              </w:rPr>
              <w:t>,</w:t>
            </w:r>
            <w:r w:rsidRPr="002C6255">
              <w:rPr>
                <w:rFonts w:ascii="Times New Roman" w:hAnsi="Times New Roman" w:cs="Times New Roman"/>
                <w:sz w:val="20"/>
                <w:szCs w:val="24"/>
                <w:lang w:val="en-US"/>
              </w:rPr>
              <w:t>0</w:t>
            </w:r>
          </w:p>
        </w:tc>
      </w:tr>
      <w:tr w:rsidR="00950BDF" w:rsidRPr="002C6255" w:rsidTr="00A16FA9">
        <w:tc>
          <w:tcPr>
            <w:tcW w:w="0" w:type="auto"/>
            <w:tcBorders>
              <w:top w:val="single" w:sz="4" w:space="0" w:color="auto"/>
              <w:bottom w:val="single" w:sz="4" w:space="0" w:color="auto"/>
              <w:right w:val="single" w:sz="12" w:space="0" w:color="auto"/>
            </w:tcBorders>
            <w:shd w:val="clear" w:color="auto" w:fill="auto"/>
          </w:tcPr>
          <w:p w:rsidR="00950BDF" w:rsidRPr="002C6255" w:rsidRDefault="00950BDF" w:rsidP="00E44C19">
            <w:pPr>
              <w:spacing w:after="0" w:line="240" w:lineRule="auto"/>
              <w:rPr>
                <w:rFonts w:ascii="Times New Roman" w:hAnsi="Times New Roman" w:cs="Times New Roman"/>
                <w:sz w:val="20"/>
                <w:szCs w:val="24"/>
                <w:lang w:val="en-US"/>
              </w:rPr>
            </w:pPr>
            <w:r w:rsidRPr="002C6255">
              <w:rPr>
                <w:rFonts w:ascii="Times New Roman" w:hAnsi="Times New Roman" w:cs="Times New Roman"/>
                <w:sz w:val="20"/>
                <w:szCs w:val="24"/>
                <w:lang w:val="en-US"/>
              </w:rPr>
              <w:t>DIW-2013</w:t>
            </w:r>
          </w:p>
          <w:p w:rsidR="00950BDF" w:rsidRPr="002C6255" w:rsidRDefault="00950BDF" w:rsidP="00E44C19">
            <w:pPr>
              <w:spacing w:after="0" w:line="240" w:lineRule="auto"/>
              <w:rPr>
                <w:rFonts w:ascii="Times New Roman" w:hAnsi="Times New Roman" w:cs="Times New Roman"/>
                <w:sz w:val="20"/>
                <w:szCs w:val="24"/>
              </w:rPr>
            </w:pPr>
            <w:r w:rsidRPr="002C6255">
              <w:rPr>
                <w:rFonts w:ascii="Times New Roman" w:hAnsi="Times New Roman" w:cs="Times New Roman"/>
                <w:sz w:val="20"/>
                <w:szCs w:val="24"/>
              </w:rPr>
              <w:t>Ristö, T. &amp;</w:t>
            </w:r>
            <w:r w:rsidR="000A609E">
              <w:rPr>
                <w:rFonts w:ascii="Times New Roman" w:hAnsi="Times New Roman" w:cs="Times New Roman"/>
                <w:sz w:val="20"/>
                <w:szCs w:val="24"/>
              </w:rPr>
              <w:t xml:space="preserve"> </w:t>
            </w:r>
            <w:r w:rsidRPr="002C6255">
              <w:rPr>
                <w:rFonts w:ascii="Times New Roman" w:hAnsi="Times New Roman" w:cs="Times New Roman"/>
                <w:sz w:val="20"/>
                <w:szCs w:val="24"/>
              </w:rPr>
              <w:t>Kivistö, A., 2008. Comparison</w:t>
            </w:r>
            <w:r w:rsidR="000A609E">
              <w:rPr>
                <w:rFonts w:ascii="Times New Roman" w:hAnsi="Times New Roman" w:cs="Times New Roman"/>
                <w:sz w:val="20"/>
                <w:szCs w:val="24"/>
              </w:rPr>
              <w:t xml:space="preserve"> </w:t>
            </w:r>
            <w:r w:rsidRPr="002C6255">
              <w:rPr>
                <w:rFonts w:ascii="Times New Roman" w:hAnsi="Times New Roman" w:cs="Times New Roman"/>
                <w:sz w:val="20"/>
                <w:szCs w:val="24"/>
              </w:rPr>
              <w:t>of</w:t>
            </w:r>
            <w:r w:rsidR="000A609E">
              <w:rPr>
                <w:rFonts w:ascii="Times New Roman" w:hAnsi="Times New Roman" w:cs="Times New Roman"/>
                <w:sz w:val="20"/>
                <w:szCs w:val="24"/>
              </w:rPr>
              <w:t xml:space="preserve"> </w:t>
            </w:r>
            <w:r w:rsidRPr="002C6255">
              <w:rPr>
                <w:rFonts w:ascii="Times New Roman" w:hAnsi="Times New Roman" w:cs="Times New Roman"/>
                <w:sz w:val="20"/>
                <w:szCs w:val="24"/>
              </w:rPr>
              <w:t>Electricity</w:t>
            </w:r>
            <w:r w:rsidR="000A609E">
              <w:rPr>
                <w:rFonts w:ascii="Times New Roman" w:hAnsi="Times New Roman" w:cs="Times New Roman"/>
                <w:sz w:val="20"/>
                <w:szCs w:val="24"/>
              </w:rPr>
              <w:t xml:space="preserve"> </w:t>
            </w:r>
            <w:r w:rsidRPr="002C6255">
              <w:rPr>
                <w:rFonts w:ascii="Times New Roman" w:hAnsi="Times New Roman" w:cs="Times New Roman"/>
                <w:sz w:val="20"/>
                <w:szCs w:val="24"/>
              </w:rPr>
              <w:t>Generation</w:t>
            </w:r>
            <w:r w:rsidR="000A609E">
              <w:rPr>
                <w:rFonts w:ascii="Times New Roman" w:hAnsi="Times New Roman" w:cs="Times New Roman"/>
                <w:sz w:val="20"/>
                <w:szCs w:val="24"/>
              </w:rPr>
              <w:t xml:space="preserve"> </w:t>
            </w:r>
            <w:r w:rsidRPr="002C6255">
              <w:rPr>
                <w:rFonts w:ascii="Times New Roman" w:hAnsi="Times New Roman" w:cs="Times New Roman"/>
                <w:sz w:val="20"/>
                <w:szCs w:val="24"/>
              </w:rPr>
              <w:t>Costs, Lappeenranta: Lappeenranta</w:t>
            </w:r>
            <w:r w:rsidR="000A609E">
              <w:rPr>
                <w:rFonts w:ascii="Times New Roman" w:hAnsi="Times New Roman" w:cs="Times New Roman"/>
                <w:sz w:val="20"/>
                <w:szCs w:val="24"/>
              </w:rPr>
              <w:t xml:space="preserve"> </w:t>
            </w:r>
            <w:r w:rsidRPr="002C6255">
              <w:rPr>
                <w:rFonts w:ascii="Times New Roman" w:hAnsi="Times New Roman" w:cs="Times New Roman"/>
                <w:sz w:val="20"/>
                <w:szCs w:val="24"/>
              </w:rPr>
              <w:t>University</w:t>
            </w:r>
            <w:r w:rsidR="000A609E">
              <w:rPr>
                <w:rFonts w:ascii="Times New Roman" w:hAnsi="Times New Roman" w:cs="Times New Roman"/>
                <w:sz w:val="20"/>
                <w:szCs w:val="24"/>
              </w:rPr>
              <w:t xml:space="preserve"> </w:t>
            </w:r>
            <w:r w:rsidRPr="002C6255">
              <w:rPr>
                <w:rFonts w:ascii="Times New Roman" w:hAnsi="Times New Roman" w:cs="Times New Roman"/>
                <w:sz w:val="20"/>
                <w:szCs w:val="24"/>
              </w:rPr>
              <w:t>of Technology Faculty</w:t>
            </w:r>
            <w:r w:rsidR="000A609E">
              <w:rPr>
                <w:rFonts w:ascii="Times New Roman" w:hAnsi="Times New Roman" w:cs="Times New Roman"/>
                <w:sz w:val="20"/>
                <w:szCs w:val="24"/>
              </w:rPr>
              <w:t xml:space="preserve"> </w:t>
            </w:r>
            <w:r w:rsidRPr="002C6255">
              <w:rPr>
                <w:rFonts w:ascii="Times New Roman" w:hAnsi="Times New Roman" w:cs="Times New Roman"/>
                <w:sz w:val="20"/>
                <w:szCs w:val="24"/>
              </w:rPr>
              <w:t>of Technology Department of Energy and</w:t>
            </w:r>
            <w:r w:rsidR="000A609E">
              <w:rPr>
                <w:rFonts w:ascii="Times New Roman" w:hAnsi="Times New Roman" w:cs="Times New Roman"/>
                <w:sz w:val="20"/>
                <w:szCs w:val="24"/>
              </w:rPr>
              <w:t xml:space="preserve"> </w:t>
            </w:r>
            <w:r w:rsidRPr="002C6255">
              <w:rPr>
                <w:rFonts w:ascii="Times New Roman" w:hAnsi="Times New Roman" w:cs="Times New Roman"/>
                <w:sz w:val="20"/>
                <w:szCs w:val="24"/>
              </w:rPr>
              <w:t>Environmental Technology</w:t>
            </w:r>
          </w:p>
        </w:tc>
        <w:tc>
          <w:tcPr>
            <w:tcW w:w="0" w:type="auto"/>
            <w:tcBorders>
              <w:left w:val="single" w:sz="12" w:space="0" w:color="auto"/>
            </w:tcBorders>
            <w:shd w:val="clear" w:color="auto" w:fill="auto"/>
          </w:tcPr>
          <w:p w:rsidR="00950BDF" w:rsidRPr="002C6255" w:rsidRDefault="00950BDF" w:rsidP="00A16FA9">
            <w:pPr>
              <w:spacing w:after="0" w:line="240" w:lineRule="auto"/>
              <w:jc w:val="center"/>
              <w:rPr>
                <w:rFonts w:ascii="Times New Roman" w:hAnsi="Times New Roman" w:cs="Times New Roman"/>
                <w:sz w:val="20"/>
                <w:szCs w:val="24"/>
                <w:lang w:val="en-US"/>
              </w:rPr>
            </w:pPr>
            <w:r w:rsidRPr="002C6255">
              <w:rPr>
                <w:rFonts w:ascii="Times New Roman" w:hAnsi="Times New Roman" w:cs="Times New Roman"/>
                <w:sz w:val="20"/>
                <w:szCs w:val="24"/>
                <w:lang w:val="en-US"/>
              </w:rPr>
              <w:t>5</w:t>
            </w:r>
            <w:r w:rsidR="00E6666C">
              <w:rPr>
                <w:rFonts w:ascii="Times New Roman" w:hAnsi="Times New Roman" w:cs="Times New Roman"/>
                <w:sz w:val="20"/>
                <w:szCs w:val="24"/>
                <w:lang w:val="en-US"/>
              </w:rPr>
              <w:t>,</w:t>
            </w:r>
            <w:r w:rsidRPr="002C6255">
              <w:rPr>
                <w:rFonts w:ascii="Times New Roman" w:hAnsi="Times New Roman" w:cs="Times New Roman"/>
                <w:sz w:val="20"/>
                <w:szCs w:val="24"/>
                <w:lang w:val="en-US"/>
              </w:rPr>
              <w:t>0</w:t>
            </w:r>
          </w:p>
        </w:tc>
      </w:tr>
      <w:tr w:rsidR="00950BDF" w:rsidRPr="002C6255" w:rsidTr="00A16FA9">
        <w:tc>
          <w:tcPr>
            <w:tcW w:w="0" w:type="auto"/>
            <w:tcBorders>
              <w:top w:val="single" w:sz="4" w:space="0" w:color="auto"/>
              <w:bottom w:val="single" w:sz="4" w:space="0" w:color="auto"/>
              <w:right w:val="single" w:sz="12" w:space="0" w:color="auto"/>
            </w:tcBorders>
            <w:shd w:val="clear" w:color="auto" w:fill="auto"/>
          </w:tcPr>
          <w:p w:rsidR="00950BDF" w:rsidRPr="002C6255" w:rsidRDefault="00950BDF" w:rsidP="00E44C19">
            <w:pPr>
              <w:spacing w:after="0" w:line="240" w:lineRule="auto"/>
              <w:rPr>
                <w:rFonts w:ascii="Times New Roman" w:hAnsi="Times New Roman" w:cs="Times New Roman"/>
                <w:sz w:val="20"/>
                <w:szCs w:val="24"/>
                <w:lang w:val="en-US"/>
              </w:rPr>
            </w:pPr>
            <w:r w:rsidRPr="002C6255">
              <w:rPr>
                <w:rFonts w:ascii="Times New Roman" w:hAnsi="Times New Roman" w:cs="Times New Roman"/>
                <w:sz w:val="20"/>
                <w:szCs w:val="24"/>
                <w:lang w:val="en-US"/>
              </w:rPr>
              <w:t>DIW-2013</w:t>
            </w:r>
          </w:p>
          <w:p w:rsidR="00950BDF" w:rsidRPr="002C6255" w:rsidRDefault="00950BDF" w:rsidP="00E44C19">
            <w:pPr>
              <w:spacing w:after="0" w:line="240" w:lineRule="auto"/>
              <w:rPr>
                <w:rFonts w:ascii="Times New Roman" w:hAnsi="Times New Roman" w:cs="Times New Roman"/>
                <w:sz w:val="20"/>
                <w:szCs w:val="24"/>
              </w:rPr>
            </w:pPr>
            <w:r w:rsidRPr="002C6255">
              <w:rPr>
                <w:rFonts w:ascii="Times New Roman" w:hAnsi="Times New Roman" w:cs="Times New Roman"/>
                <w:sz w:val="20"/>
                <w:szCs w:val="24"/>
              </w:rPr>
              <w:t>CdC, 2012. Lescoûts de lafilièreélectronucléaire, Paris: CourdesComptes</w:t>
            </w:r>
          </w:p>
        </w:tc>
        <w:tc>
          <w:tcPr>
            <w:tcW w:w="0" w:type="auto"/>
            <w:tcBorders>
              <w:left w:val="single" w:sz="12" w:space="0" w:color="auto"/>
            </w:tcBorders>
            <w:shd w:val="clear" w:color="auto" w:fill="auto"/>
          </w:tcPr>
          <w:p w:rsidR="00950BDF" w:rsidRPr="002C6255" w:rsidRDefault="00950BDF" w:rsidP="00A16FA9">
            <w:pPr>
              <w:spacing w:after="0" w:line="240" w:lineRule="auto"/>
              <w:jc w:val="center"/>
              <w:rPr>
                <w:rFonts w:ascii="Times New Roman" w:hAnsi="Times New Roman" w:cs="Times New Roman"/>
                <w:sz w:val="20"/>
                <w:szCs w:val="24"/>
                <w:lang w:val="en-US"/>
              </w:rPr>
            </w:pPr>
            <w:r w:rsidRPr="002C6255">
              <w:rPr>
                <w:rFonts w:ascii="Times New Roman" w:hAnsi="Times New Roman" w:cs="Times New Roman"/>
                <w:sz w:val="20"/>
                <w:szCs w:val="24"/>
                <w:lang w:val="en-US"/>
              </w:rPr>
              <w:t>5</w:t>
            </w:r>
            <w:r w:rsidR="00E6666C">
              <w:rPr>
                <w:rFonts w:ascii="Times New Roman" w:hAnsi="Times New Roman" w:cs="Times New Roman"/>
                <w:sz w:val="20"/>
                <w:szCs w:val="24"/>
                <w:lang w:val="en-US"/>
              </w:rPr>
              <w:t>,</w:t>
            </w:r>
            <w:r w:rsidRPr="002C6255">
              <w:rPr>
                <w:rFonts w:ascii="Times New Roman" w:hAnsi="Times New Roman" w:cs="Times New Roman"/>
                <w:sz w:val="20"/>
                <w:szCs w:val="24"/>
                <w:lang w:val="en-US"/>
              </w:rPr>
              <w:t>2</w:t>
            </w:r>
          </w:p>
        </w:tc>
      </w:tr>
      <w:tr w:rsidR="00950BDF" w:rsidRPr="002C6255" w:rsidTr="00A16FA9">
        <w:tc>
          <w:tcPr>
            <w:tcW w:w="0" w:type="auto"/>
            <w:tcBorders>
              <w:top w:val="single" w:sz="4" w:space="0" w:color="auto"/>
              <w:bottom w:val="single" w:sz="12" w:space="0" w:color="auto"/>
              <w:right w:val="single" w:sz="12" w:space="0" w:color="auto"/>
            </w:tcBorders>
            <w:shd w:val="clear" w:color="auto" w:fill="auto"/>
          </w:tcPr>
          <w:p w:rsidR="00950BDF" w:rsidRPr="002C6255" w:rsidRDefault="00950BDF" w:rsidP="00E44C19">
            <w:pPr>
              <w:spacing w:after="0" w:line="240" w:lineRule="auto"/>
              <w:rPr>
                <w:rFonts w:ascii="Times New Roman" w:hAnsi="Times New Roman" w:cs="Times New Roman"/>
                <w:sz w:val="20"/>
                <w:szCs w:val="24"/>
                <w:lang w:val="en-US"/>
              </w:rPr>
            </w:pPr>
            <w:r w:rsidRPr="002C6255">
              <w:rPr>
                <w:rFonts w:ascii="Times New Roman" w:hAnsi="Times New Roman" w:cs="Times New Roman"/>
                <w:sz w:val="20"/>
                <w:szCs w:val="24"/>
                <w:lang w:val="en-US"/>
              </w:rPr>
              <w:t>DIW-2013</w:t>
            </w:r>
          </w:p>
          <w:p w:rsidR="00950BDF" w:rsidRPr="002C6255" w:rsidRDefault="00950BDF" w:rsidP="00E44C19">
            <w:pPr>
              <w:spacing w:after="0" w:line="240" w:lineRule="auto"/>
              <w:rPr>
                <w:rFonts w:ascii="Times New Roman" w:hAnsi="Times New Roman" w:cs="Times New Roman"/>
                <w:sz w:val="20"/>
                <w:szCs w:val="24"/>
                <w:lang w:val="en-US"/>
              </w:rPr>
            </w:pPr>
            <w:r w:rsidRPr="002C6255">
              <w:rPr>
                <w:rFonts w:ascii="Times New Roman" w:hAnsi="Times New Roman" w:cs="Times New Roman"/>
                <w:sz w:val="20"/>
                <w:szCs w:val="24"/>
              </w:rPr>
              <w:t>Parsons Brinckerhoff, 2012. Solar</w:t>
            </w:r>
            <w:r w:rsidR="000A609E">
              <w:rPr>
                <w:rFonts w:ascii="Times New Roman" w:hAnsi="Times New Roman" w:cs="Times New Roman"/>
                <w:sz w:val="20"/>
                <w:szCs w:val="24"/>
              </w:rPr>
              <w:t xml:space="preserve"> </w:t>
            </w:r>
            <w:r w:rsidRPr="002C6255">
              <w:rPr>
                <w:rFonts w:ascii="Times New Roman" w:hAnsi="Times New Roman" w:cs="Times New Roman"/>
                <w:sz w:val="20"/>
                <w:szCs w:val="24"/>
              </w:rPr>
              <w:t>PV</w:t>
            </w:r>
            <w:r w:rsidR="000A609E">
              <w:rPr>
                <w:rFonts w:ascii="Times New Roman" w:hAnsi="Times New Roman" w:cs="Times New Roman"/>
                <w:sz w:val="20"/>
                <w:szCs w:val="24"/>
              </w:rPr>
              <w:t xml:space="preserve"> </w:t>
            </w:r>
            <w:r w:rsidRPr="002C6255">
              <w:rPr>
                <w:rFonts w:ascii="Times New Roman" w:hAnsi="Times New Roman" w:cs="Times New Roman"/>
                <w:sz w:val="20"/>
                <w:szCs w:val="24"/>
              </w:rPr>
              <w:t>Cost</w:t>
            </w:r>
            <w:r w:rsidR="000A609E">
              <w:rPr>
                <w:rFonts w:ascii="Times New Roman" w:hAnsi="Times New Roman" w:cs="Times New Roman"/>
                <w:sz w:val="20"/>
                <w:szCs w:val="24"/>
              </w:rPr>
              <w:t xml:space="preserve"> </w:t>
            </w:r>
            <w:r w:rsidRPr="002C6255">
              <w:rPr>
                <w:rFonts w:ascii="Times New Roman" w:hAnsi="Times New Roman" w:cs="Times New Roman"/>
                <w:sz w:val="20"/>
                <w:szCs w:val="24"/>
              </w:rPr>
              <w:t>Update</w:t>
            </w:r>
          </w:p>
        </w:tc>
        <w:tc>
          <w:tcPr>
            <w:tcW w:w="0" w:type="auto"/>
            <w:tcBorders>
              <w:left w:val="single" w:sz="12" w:space="0" w:color="auto"/>
            </w:tcBorders>
            <w:shd w:val="clear" w:color="auto" w:fill="auto"/>
          </w:tcPr>
          <w:p w:rsidR="00950BDF" w:rsidRPr="002C6255" w:rsidRDefault="00950BDF" w:rsidP="00A16FA9">
            <w:pPr>
              <w:spacing w:after="0" w:line="240" w:lineRule="auto"/>
              <w:jc w:val="center"/>
              <w:rPr>
                <w:rFonts w:ascii="Times New Roman" w:hAnsi="Times New Roman" w:cs="Times New Roman"/>
                <w:sz w:val="20"/>
                <w:szCs w:val="24"/>
                <w:lang w:val="en-US"/>
              </w:rPr>
            </w:pPr>
            <w:r w:rsidRPr="002C6255">
              <w:rPr>
                <w:rFonts w:ascii="Times New Roman" w:hAnsi="Times New Roman" w:cs="Times New Roman"/>
                <w:sz w:val="20"/>
                <w:szCs w:val="24"/>
                <w:lang w:val="en-US"/>
              </w:rPr>
              <w:t>5</w:t>
            </w:r>
            <w:r w:rsidR="00E6666C">
              <w:rPr>
                <w:rFonts w:ascii="Times New Roman" w:hAnsi="Times New Roman" w:cs="Times New Roman"/>
                <w:sz w:val="20"/>
                <w:szCs w:val="24"/>
                <w:lang w:val="en-US"/>
              </w:rPr>
              <w:t>,</w:t>
            </w:r>
            <w:r w:rsidRPr="002C6255">
              <w:rPr>
                <w:rFonts w:ascii="Times New Roman" w:hAnsi="Times New Roman" w:cs="Times New Roman"/>
                <w:sz w:val="20"/>
                <w:szCs w:val="24"/>
                <w:lang w:val="en-US"/>
              </w:rPr>
              <w:t>8</w:t>
            </w:r>
          </w:p>
        </w:tc>
      </w:tr>
    </w:tbl>
    <w:p w:rsidR="00950BDF" w:rsidRPr="00CA6AE8" w:rsidRDefault="00950BDF" w:rsidP="00E44C19">
      <w:pPr>
        <w:spacing w:before="120" w:after="120" w:line="240" w:lineRule="auto"/>
        <w:jc w:val="center"/>
        <w:rPr>
          <w:rFonts w:ascii="Times New Roman" w:hAnsi="Times New Roman" w:cs="Times New Roman"/>
          <w:sz w:val="20"/>
          <w:szCs w:val="24"/>
        </w:rPr>
      </w:pPr>
      <w:r w:rsidRPr="00CA6AE8">
        <w:rPr>
          <w:rFonts w:ascii="Times New Roman" w:hAnsi="Times New Roman" w:cs="Times New Roman"/>
          <w:sz w:val="20"/>
          <w:szCs w:val="24"/>
        </w:rPr>
        <w:t>Източник: Съставена от авторите по данни от посочените източници.</w:t>
      </w:r>
    </w:p>
    <w:p w:rsidR="002C6255" w:rsidRPr="00950BDF" w:rsidRDefault="002C6255" w:rsidP="00E44C19">
      <w:pPr>
        <w:spacing w:before="120" w:after="120" w:line="240" w:lineRule="auto"/>
        <w:ind w:left="708"/>
        <w:rPr>
          <w:rFonts w:ascii="Times New Roman" w:hAnsi="Times New Roman" w:cs="Times New Roman"/>
          <w:b/>
          <w:sz w:val="24"/>
          <w:szCs w:val="24"/>
          <w:highlight w:val="green"/>
        </w:rPr>
      </w:pPr>
    </w:p>
    <w:p w:rsidR="00950BDF" w:rsidRPr="00950BDF" w:rsidRDefault="00950BDF" w:rsidP="00E44C19">
      <w:pPr>
        <w:spacing w:before="120" w:after="120" w:line="240" w:lineRule="auto"/>
        <w:rPr>
          <w:rFonts w:ascii="Times New Roman" w:hAnsi="Times New Roman" w:cs="Times New Roman"/>
          <w:i/>
          <w:sz w:val="24"/>
          <w:szCs w:val="24"/>
        </w:rPr>
      </w:pPr>
      <w:r w:rsidRPr="00950BDF">
        <w:rPr>
          <w:rFonts w:ascii="Times New Roman" w:hAnsi="Times New Roman" w:cs="Times New Roman"/>
          <w:i/>
          <w:sz w:val="24"/>
          <w:szCs w:val="24"/>
        </w:rPr>
        <w:t>Разходи за управление на радиоактивни отпадъци и за извеждане от експлоатация на ядрени съоръжения</w:t>
      </w:r>
    </w:p>
    <w:p w:rsidR="00950BDF" w:rsidRPr="00950BDF" w:rsidRDefault="00950BDF" w:rsidP="00E44C19">
      <w:pPr>
        <w:spacing w:before="120" w:after="120" w:line="240" w:lineRule="auto"/>
        <w:rPr>
          <w:rFonts w:ascii="Times New Roman" w:hAnsi="Times New Roman" w:cs="Times New Roman"/>
          <w:sz w:val="24"/>
          <w:szCs w:val="24"/>
        </w:rPr>
      </w:pPr>
      <w:r w:rsidRPr="00950BDF">
        <w:rPr>
          <w:rFonts w:ascii="Times New Roman" w:hAnsi="Times New Roman" w:cs="Times New Roman"/>
          <w:sz w:val="24"/>
          <w:szCs w:val="24"/>
        </w:rPr>
        <w:t>Разходите за управление на радиоактивни отпадъци и за извеждане от експлоатация на ядрени съоръжения за целия период до 2087 г. са представени в</w:t>
      </w:r>
      <w:r w:rsidR="002C6255">
        <w:rPr>
          <w:rFonts w:ascii="Times New Roman" w:hAnsi="Times New Roman" w:cs="Times New Roman"/>
          <w:sz w:val="24"/>
          <w:szCs w:val="24"/>
        </w:rPr>
        <w:t xml:space="preserve"> табл. </w:t>
      </w:r>
      <w:r w:rsidR="002C6255" w:rsidRPr="00E44C19">
        <w:rPr>
          <w:rFonts w:ascii="Times New Roman" w:hAnsi="Times New Roman" w:cs="Times New Roman"/>
          <w:sz w:val="24"/>
          <w:szCs w:val="24"/>
          <w:lang w:val="en-US"/>
        </w:rPr>
        <w:t>V.</w:t>
      </w:r>
      <w:r w:rsidR="00FB17F2">
        <w:rPr>
          <w:rFonts w:ascii="Times New Roman" w:hAnsi="Times New Roman" w:cs="Times New Roman"/>
          <w:sz w:val="24"/>
          <w:szCs w:val="24"/>
        </w:rPr>
        <w:t>14</w:t>
      </w:r>
      <w:r w:rsidRPr="00950BDF">
        <w:rPr>
          <w:rFonts w:ascii="Times New Roman" w:hAnsi="Times New Roman" w:cs="Times New Roman"/>
          <w:sz w:val="24"/>
          <w:szCs w:val="24"/>
        </w:rPr>
        <w:t>.</w:t>
      </w:r>
    </w:p>
    <w:p w:rsidR="00950BDF" w:rsidRPr="00FB17F2" w:rsidRDefault="00FB17F2" w:rsidP="00E44C19">
      <w:pPr>
        <w:pStyle w:val="Caption"/>
        <w:rPr>
          <w:rFonts w:ascii="Times New Roman" w:hAnsi="Times New Roman"/>
          <w:szCs w:val="24"/>
        </w:rPr>
      </w:pPr>
      <w:bookmarkStart w:id="152" w:name="_Toc491990984"/>
      <w:bookmarkStart w:id="153" w:name="_Toc491994419"/>
      <w:bookmarkStart w:id="154" w:name="_Toc493240910"/>
      <w:r w:rsidRPr="00FB17F2">
        <w:rPr>
          <w:rFonts w:hint="eastAsia"/>
        </w:rPr>
        <w:t>Таблица</w:t>
      </w:r>
      <w:r w:rsidRPr="00FB17F2">
        <w:t xml:space="preserve"> V.</w:t>
      </w:r>
      <w:r w:rsidR="0097530B">
        <w:fldChar w:fldCharType="begin"/>
      </w:r>
      <w:r w:rsidR="00042F89">
        <w:instrText xml:space="preserve"> SEQ Таблица_V. \* ARABIC </w:instrText>
      </w:r>
      <w:r w:rsidR="0097530B">
        <w:fldChar w:fldCharType="separate"/>
      </w:r>
      <w:r w:rsidR="00F44EBF">
        <w:rPr>
          <w:noProof/>
        </w:rPr>
        <w:t>14</w:t>
      </w:r>
      <w:r w:rsidR="0097530B">
        <w:rPr>
          <w:noProof/>
        </w:rPr>
        <w:fldChar w:fldCharType="end"/>
      </w:r>
      <w:r w:rsidRPr="00FB17F2">
        <w:rPr>
          <w:rFonts w:asciiTheme="minorHAnsi" w:hAnsiTheme="minorHAnsi"/>
        </w:rPr>
        <w:t xml:space="preserve">. </w:t>
      </w:r>
      <w:r w:rsidR="00950BDF" w:rsidRPr="00FB17F2">
        <w:rPr>
          <w:rFonts w:ascii="Times New Roman" w:hAnsi="Times New Roman"/>
          <w:szCs w:val="24"/>
        </w:rPr>
        <w:t>Разходи за управление на радиоактивни отпадъци и за извеждане от експлоатация на ядрени съоръжения на АЕЦ „Белене“</w:t>
      </w:r>
      <w:bookmarkEnd w:id="152"/>
      <w:bookmarkEnd w:id="153"/>
      <w:bookmarkEnd w:id="15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7"/>
        <w:gridCol w:w="1771"/>
        <w:gridCol w:w="1227"/>
      </w:tblGrid>
      <w:tr w:rsidR="00950BDF" w:rsidRPr="00A16FA9" w:rsidTr="00A16FA9">
        <w:trPr>
          <w:jc w:val="center"/>
        </w:trPr>
        <w:tc>
          <w:tcPr>
            <w:tcW w:w="0" w:type="auto"/>
            <w:tcBorders>
              <w:top w:val="single" w:sz="12" w:space="0" w:color="auto"/>
              <w:bottom w:val="single" w:sz="12" w:space="0" w:color="auto"/>
              <w:right w:val="single" w:sz="12" w:space="0" w:color="auto"/>
            </w:tcBorders>
            <w:shd w:val="clear" w:color="auto" w:fill="E7E6E6"/>
            <w:vAlign w:val="center"/>
          </w:tcPr>
          <w:p w:rsidR="00950BDF" w:rsidRPr="00A16FA9" w:rsidRDefault="00950BDF" w:rsidP="00F71484">
            <w:pPr>
              <w:spacing w:after="0" w:line="240" w:lineRule="auto"/>
              <w:ind w:left="113" w:right="113"/>
              <w:jc w:val="center"/>
              <w:rPr>
                <w:rFonts w:ascii="Times New Roman" w:eastAsia="Times New Roman" w:hAnsi="Times New Roman" w:cs="Times New Roman"/>
                <w:b/>
                <w:bCs/>
                <w:color w:val="000000"/>
                <w:sz w:val="20"/>
                <w:szCs w:val="24"/>
              </w:rPr>
            </w:pPr>
            <w:r w:rsidRPr="00A16FA9">
              <w:rPr>
                <w:rFonts w:ascii="Times New Roman" w:eastAsia="Times New Roman" w:hAnsi="Times New Roman" w:cs="Times New Roman"/>
                <w:b/>
                <w:bCs/>
                <w:color w:val="000000"/>
                <w:sz w:val="20"/>
                <w:szCs w:val="24"/>
              </w:rPr>
              <w:t>Вид разход</w:t>
            </w:r>
          </w:p>
        </w:tc>
        <w:tc>
          <w:tcPr>
            <w:tcW w:w="0" w:type="auto"/>
            <w:tcBorders>
              <w:left w:val="single" w:sz="12" w:space="0" w:color="auto"/>
              <w:bottom w:val="single" w:sz="12" w:space="0" w:color="auto"/>
            </w:tcBorders>
            <w:shd w:val="clear" w:color="auto" w:fill="E7E6E6"/>
            <w:noWrap/>
            <w:vAlign w:val="center"/>
          </w:tcPr>
          <w:p w:rsidR="00950BDF" w:rsidRPr="00A16FA9" w:rsidRDefault="00950BDF" w:rsidP="00F71484">
            <w:pPr>
              <w:spacing w:after="0" w:line="240" w:lineRule="auto"/>
              <w:ind w:left="113" w:right="113"/>
              <w:jc w:val="center"/>
              <w:rPr>
                <w:rFonts w:ascii="Times New Roman" w:eastAsia="Times New Roman" w:hAnsi="Times New Roman" w:cs="Times New Roman"/>
                <w:b/>
                <w:color w:val="000000"/>
                <w:sz w:val="20"/>
                <w:szCs w:val="24"/>
              </w:rPr>
            </w:pPr>
            <w:r w:rsidRPr="00A16FA9">
              <w:rPr>
                <w:rFonts w:ascii="Times New Roman" w:eastAsia="Times New Roman" w:hAnsi="Times New Roman" w:cs="Times New Roman"/>
                <w:b/>
                <w:color w:val="000000"/>
                <w:sz w:val="20"/>
                <w:szCs w:val="24"/>
              </w:rPr>
              <w:t>Мерна единица</w:t>
            </w:r>
          </w:p>
        </w:tc>
        <w:tc>
          <w:tcPr>
            <w:tcW w:w="0" w:type="auto"/>
            <w:tcBorders>
              <w:bottom w:val="single" w:sz="12" w:space="0" w:color="auto"/>
            </w:tcBorders>
            <w:shd w:val="clear" w:color="auto" w:fill="E7E6E6"/>
            <w:noWrap/>
            <w:vAlign w:val="center"/>
          </w:tcPr>
          <w:p w:rsidR="00950BDF" w:rsidRPr="00A16FA9" w:rsidRDefault="00950BDF" w:rsidP="00F71484">
            <w:pPr>
              <w:spacing w:after="0" w:line="240" w:lineRule="auto"/>
              <w:ind w:left="113" w:right="113"/>
              <w:jc w:val="center"/>
              <w:rPr>
                <w:rFonts w:ascii="Times New Roman" w:eastAsia="Times New Roman" w:hAnsi="Times New Roman" w:cs="Times New Roman"/>
                <w:b/>
                <w:color w:val="000000"/>
                <w:sz w:val="20"/>
                <w:szCs w:val="24"/>
              </w:rPr>
            </w:pPr>
            <w:r w:rsidRPr="00A16FA9">
              <w:rPr>
                <w:rFonts w:ascii="Times New Roman" w:eastAsia="Times New Roman" w:hAnsi="Times New Roman" w:cs="Times New Roman"/>
                <w:b/>
                <w:color w:val="000000"/>
                <w:sz w:val="20"/>
                <w:szCs w:val="24"/>
              </w:rPr>
              <w:t>Стойност</w:t>
            </w:r>
          </w:p>
        </w:tc>
      </w:tr>
      <w:tr w:rsidR="00950BDF" w:rsidRPr="00A16FA9" w:rsidTr="00A16FA9">
        <w:trPr>
          <w:jc w:val="center"/>
        </w:trPr>
        <w:tc>
          <w:tcPr>
            <w:tcW w:w="0" w:type="auto"/>
            <w:tcBorders>
              <w:top w:val="single" w:sz="12" w:space="0" w:color="auto"/>
              <w:bottom w:val="single" w:sz="4" w:space="0" w:color="auto"/>
              <w:right w:val="single" w:sz="12" w:space="0" w:color="auto"/>
            </w:tcBorders>
            <w:shd w:val="clear" w:color="auto" w:fill="auto"/>
            <w:vAlign w:val="bottom"/>
            <w:hideMark/>
          </w:tcPr>
          <w:p w:rsidR="00950BDF" w:rsidRPr="00A16FA9" w:rsidRDefault="00950BDF" w:rsidP="00F71484">
            <w:pPr>
              <w:spacing w:after="0" w:line="240" w:lineRule="auto"/>
              <w:ind w:left="113" w:right="113"/>
              <w:rPr>
                <w:rFonts w:ascii="Times New Roman" w:eastAsia="Times New Roman" w:hAnsi="Times New Roman" w:cs="Times New Roman"/>
                <w:bCs/>
                <w:color w:val="000000"/>
                <w:sz w:val="20"/>
                <w:szCs w:val="24"/>
              </w:rPr>
            </w:pPr>
            <w:r w:rsidRPr="00A16FA9">
              <w:rPr>
                <w:rFonts w:ascii="Times New Roman" w:eastAsia="Times New Roman" w:hAnsi="Times New Roman" w:cs="Times New Roman"/>
                <w:bCs/>
                <w:color w:val="000000"/>
                <w:sz w:val="20"/>
                <w:szCs w:val="24"/>
              </w:rPr>
              <w:t xml:space="preserve">Разходи за управление на радиоактивни отпадъци </w:t>
            </w:r>
          </w:p>
        </w:tc>
        <w:tc>
          <w:tcPr>
            <w:tcW w:w="0" w:type="auto"/>
            <w:tcBorders>
              <w:top w:val="single" w:sz="12" w:space="0" w:color="auto"/>
              <w:left w:val="single" w:sz="12" w:space="0" w:color="auto"/>
              <w:bottom w:val="single" w:sz="4" w:space="0" w:color="auto"/>
            </w:tcBorders>
            <w:shd w:val="clear" w:color="auto" w:fill="auto"/>
            <w:noWrap/>
            <w:vAlign w:val="bottom"/>
            <w:hideMark/>
          </w:tcPr>
          <w:p w:rsidR="00950BDF" w:rsidRPr="00A16FA9" w:rsidRDefault="00950BDF" w:rsidP="00F71484">
            <w:pPr>
              <w:spacing w:after="0" w:line="240" w:lineRule="auto"/>
              <w:ind w:left="113" w:right="113"/>
              <w:jc w:val="center"/>
              <w:rPr>
                <w:rFonts w:ascii="Times New Roman" w:eastAsia="Times New Roman" w:hAnsi="Times New Roman" w:cs="Times New Roman"/>
                <w:color w:val="000000"/>
                <w:sz w:val="20"/>
                <w:szCs w:val="24"/>
              </w:rPr>
            </w:pPr>
            <w:r w:rsidRPr="00A16FA9">
              <w:rPr>
                <w:rFonts w:ascii="Times New Roman" w:eastAsia="Times New Roman" w:hAnsi="Times New Roman" w:cs="Times New Roman"/>
                <w:color w:val="000000"/>
                <w:sz w:val="20"/>
                <w:szCs w:val="24"/>
              </w:rPr>
              <w:t>хил.евро</w:t>
            </w:r>
          </w:p>
        </w:tc>
        <w:tc>
          <w:tcPr>
            <w:tcW w:w="0" w:type="auto"/>
            <w:tcBorders>
              <w:top w:val="single" w:sz="12" w:space="0" w:color="auto"/>
              <w:bottom w:val="single" w:sz="4" w:space="0" w:color="auto"/>
            </w:tcBorders>
            <w:shd w:val="clear" w:color="auto" w:fill="auto"/>
            <w:noWrap/>
            <w:vAlign w:val="bottom"/>
            <w:hideMark/>
          </w:tcPr>
          <w:p w:rsidR="00950BDF" w:rsidRPr="00A16FA9" w:rsidRDefault="00950BDF" w:rsidP="00F71484">
            <w:pPr>
              <w:spacing w:after="0" w:line="240" w:lineRule="auto"/>
              <w:ind w:left="113" w:right="113"/>
              <w:jc w:val="right"/>
              <w:rPr>
                <w:rFonts w:ascii="Times New Roman" w:eastAsia="Times New Roman" w:hAnsi="Times New Roman" w:cs="Times New Roman"/>
                <w:color w:val="000000"/>
                <w:sz w:val="20"/>
                <w:szCs w:val="24"/>
              </w:rPr>
            </w:pPr>
            <w:r w:rsidRPr="00A16FA9">
              <w:rPr>
                <w:rFonts w:ascii="Times New Roman" w:eastAsia="Times New Roman" w:hAnsi="Times New Roman" w:cs="Times New Roman"/>
                <w:color w:val="000000"/>
                <w:sz w:val="20"/>
                <w:szCs w:val="24"/>
              </w:rPr>
              <w:t>3 311 160</w:t>
            </w:r>
          </w:p>
        </w:tc>
      </w:tr>
      <w:tr w:rsidR="00950BDF" w:rsidRPr="00A16FA9" w:rsidTr="00A16FA9">
        <w:trPr>
          <w:jc w:val="center"/>
        </w:trPr>
        <w:tc>
          <w:tcPr>
            <w:tcW w:w="0" w:type="auto"/>
            <w:tcBorders>
              <w:top w:val="single" w:sz="4" w:space="0" w:color="auto"/>
              <w:right w:val="single" w:sz="12" w:space="0" w:color="auto"/>
            </w:tcBorders>
            <w:shd w:val="clear" w:color="auto" w:fill="auto"/>
            <w:vAlign w:val="bottom"/>
            <w:hideMark/>
          </w:tcPr>
          <w:p w:rsidR="00950BDF" w:rsidRPr="00A16FA9" w:rsidRDefault="00950BDF" w:rsidP="00F71484">
            <w:pPr>
              <w:spacing w:after="0" w:line="240" w:lineRule="auto"/>
              <w:ind w:left="113" w:right="113"/>
              <w:rPr>
                <w:rFonts w:ascii="Times New Roman" w:eastAsia="Times New Roman" w:hAnsi="Times New Roman" w:cs="Times New Roman"/>
                <w:color w:val="000000"/>
                <w:sz w:val="20"/>
                <w:szCs w:val="24"/>
              </w:rPr>
            </w:pPr>
            <w:r w:rsidRPr="00A16FA9">
              <w:rPr>
                <w:rFonts w:ascii="Times New Roman" w:eastAsia="Times New Roman" w:hAnsi="Times New Roman" w:cs="Times New Roman"/>
                <w:color w:val="000000"/>
                <w:sz w:val="20"/>
                <w:szCs w:val="24"/>
              </w:rPr>
              <w:t>Средногодишни разходи за управление на РАО</w:t>
            </w:r>
          </w:p>
        </w:tc>
        <w:tc>
          <w:tcPr>
            <w:tcW w:w="0" w:type="auto"/>
            <w:tcBorders>
              <w:top w:val="single" w:sz="4" w:space="0" w:color="auto"/>
              <w:left w:val="single" w:sz="12" w:space="0" w:color="auto"/>
            </w:tcBorders>
            <w:shd w:val="clear" w:color="auto" w:fill="auto"/>
            <w:noWrap/>
            <w:vAlign w:val="bottom"/>
            <w:hideMark/>
          </w:tcPr>
          <w:p w:rsidR="00950BDF" w:rsidRPr="00A16FA9" w:rsidRDefault="00950BDF" w:rsidP="00F71484">
            <w:pPr>
              <w:spacing w:after="0" w:line="240" w:lineRule="auto"/>
              <w:ind w:left="113" w:right="113"/>
              <w:jc w:val="center"/>
              <w:rPr>
                <w:rFonts w:ascii="Times New Roman" w:eastAsia="Times New Roman" w:hAnsi="Times New Roman" w:cs="Times New Roman"/>
                <w:color w:val="000000"/>
                <w:sz w:val="20"/>
                <w:szCs w:val="24"/>
              </w:rPr>
            </w:pPr>
            <w:r w:rsidRPr="00A16FA9">
              <w:rPr>
                <w:rFonts w:ascii="Times New Roman" w:eastAsia="Times New Roman" w:hAnsi="Times New Roman" w:cs="Times New Roman"/>
                <w:color w:val="000000"/>
                <w:sz w:val="20"/>
                <w:szCs w:val="24"/>
              </w:rPr>
              <w:t>евро/mWh</w:t>
            </w:r>
          </w:p>
        </w:tc>
        <w:tc>
          <w:tcPr>
            <w:tcW w:w="0" w:type="auto"/>
            <w:tcBorders>
              <w:top w:val="single" w:sz="4" w:space="0" w:color="auto"/>
            </w:tcBorders>
            <w:shd w:val="clear" w:color="auto" w:fill="auto"/>
            <w:noWrap/>
            <w:vAlign w:val="bottom"/>
            <w:hideMark/>
          </w:tcPr>
          <w:p w:rsidR="00950BDF" w:rsidRPr="00A16FA9" w:rsidRDefault="00950BDF" w:rsidP="00E6666C">
            <w:pPr>
              <w:spacing w:after="0" w:line="240" w:lineRule="auto"/>
              <w:ind w:left="113" w:right="113"/>
              <w:jc w:val="right"/>
              <w:rPr>
                <w:rFonts w:ascii="Times New Roman" w:eastAsia="Times New Roman" w:hAnsi="Times New Roman" w:cs="Times New Roman"/>
                <w:color w:val="000000"/>
                <w:sz w:val="20"/>
                <w:szCs w:val="24"/>
              </w:rPr>
            </w:pPr>
            <w:r w:rsidRPr="00A16FA9">
              <w:rPr>
                <w:rFonts w:ascii="Times New Roman" w:eastAsia="Times New Roman" w:hAnsi="Times New Roman" w:cs="Times New Roman"/>
                <w:color w:val="000000"/>
                <w:sz w:val="20"/>
                <w:szCs w:val="24"/>
              </w:rPr>
              <w:t>3</w:t>
            </w:r>
            <w:r w:rsidR="00E6666C">
              <w:rPr>
                <w:rFonts w:ascii="Times New Roman" w:eastAsia="Times New Roman" w:hAnsi="Times New Roman" w:cs="Times New Roman"/>
                <w:color w:val="000000"/>
                <w:sz w:val="20"/>
                <w:szCs w:val="24"/>
                <w:lang w:val="en-US"/>
              </w:rPr>
              <w:t>,</w:t>
            </w:r>
            <w:r w:rsidRPr="00A16FA9">
              <w:rPr>
                <w:rFonts w:ascii="Times New Roman" w:eastAsia="Times New Roman" w:hAnsi="Times New Roman" w:cs="Times New Roman"/>
                <w:color w:val="000000"/>
                <w:sz w:val="20"/>
                <w:szCs w:val="24"/>
              </w:rPr>
              <w:t>77</w:t>
            </w:r>
          </w:p>
        </w:tc>
      </w:tr>
      <w:tr w:rsidR="00950BDF" w:rsidRPr="00A16FA9" w:rsidTr="00A16FA9">
        <w:trPr>
          <w:jc w:val="center"/>
        </w:trPr>
        <w:tc>
          <w:tcPr>
            <w:tcW w:w="0" w:type="auto"/>
            <w:tcBorders>
              <w:right w:val="single" w:sz="12" w:space="0" w:color="auto"/>
            </w:tcBorders>
            <w:shd w:val="clear" w:color="auto" w:fill="auto"/>
            <w:vAlign w:val="bottom"/>
            <w:hideMark/>
          </w:tcPr>
          <w:p w:rsidR="00950BDF" w:rsidRPr="00A16FA9" w:rsidRDefault="00950BDF" w:rsidP="00F71484">
            <w:pPr>
              <w:spacing w:after="0" w:line="240" w:lineRule="auto"/>
              <w:ind w:left="113" w:right="113"/>
              <w:rPr>
                <w:rFonts w:ascii="Times New Roman" w:eastAsia="Times New Roman" w:hAnsi="Times New Roman" w:cs="Times New Roman"/>
                <w:bCs/>
                <w:color w:val="000000"/>
                <w:sz w:val="20"/>
                <w:szCs w:val="24"/>
              </w:rPr>
            </w:pPr>
            <w:r w:rsidRPr="00A16FA9">
              <w:rPr>
                <w:rFonts w:ascii="Times New Roman" w:eastAsia="Times New Roman" w:hAnsi="Times New Roman" w:cs="Times New Roman"/>
                <w:bCs/>
                <w:color w:val="000000"/>
                <w:sz w:val="20"/>
                <w:szCs w:val="24"/>
              </w:rPr>
              <w:t xml:space="preserve">Разходи за извеждане от експлоатация  на ядрени съоръжения </w:t>
            </w:r>
          </w:p>
        </w:tc>
        <w:tc>
          <w:tcPr>
            <w:tcW w:w="0" w:type="auto"/>
            <w:tcBorders>
              <w:left w:val="single" w:sz="12" w:space="0" w:color="auto"/>
            </w:tcBorders>
            <w:shd w:val="clear" w:color="auto" w:fill="auto"/>
            <w:noWrap/>
            <w:vAlign w:val="bottom"/>
            <w:hideMark/>
          </w:tcPr>
          <w:p w:rsidR="00950BDF" w:rsidRPr="00A16FA9" w:rsidRDefault="00950BDF" w:rsidP="00F71484">
            <w:pPr>
              <w:spacing w:after="0" w:line="240" w:lineRule="auto"/>
              <w:ind w:left="113" w:right="113"/>
              <w:jc w:val="center"/>
              <w:rPr>
                <w:rFonts w:ascii="Times New Roman" w:eastAsia="Times New Roman" w:hAnsi="Times New Roman" w:cs="Times New Roman"/>
                <w:color w:val="000000"/>
                <w:sz w:val="20"/>
                <w:szCs w:val="24"/>
              </w:rPr>
            </w:pPr>
            <w:r w:rsidRPr="00A16FA9">
              <w:rPr>
                <w:rFonts w:ascii="Times New Roman" w:eastAsia="Times New Roman" w:hAnsi="Times New Roman" w:cs="Times New Roman"/>
                <w:color w:val="000000"/>
                <w:sz w:val="20"/>
                <w:szCs w:val="24"/>
              </w:rPr>
              <w:t>хил.евро</w:t>
            </w:r>
          </w:p>
        </w:tc>
        <w:tc>
          <w:tcPr>
            <w:tcW w:w="0" w:type="auto"/>
            <w:shd w:val="clear" w:color="auto" w:fill="auto"/>
            <w:noWrap/>
            <w:vAlign w:val="bottom"/>
            <w:hideMark/>
          </w:tcPr>
          <w:p w:rsidR="00950BDF" w:rsidRPr="00A16FA9" w:rsidRDefault="00950BDF" w:rsidP="00F71484">
            <w:pPr>
              <w:spacing w:after="0" w:line="240" w:lineRule="auto"/>
              <w:ind w:left="113" w:right="113"/>
              <w:jc w:val="right"/>
              <w:rPr>
                <w:rFonts w:ascii="Times New Roman" w:eastAsia="Times New Roman" w:hAnsi="Times New Roman" w:cs="Times New Roman"/>
                <w:color w:val="000000"/>
                <w:sz w:val="20"/>
                <w:szCs w:val="24"/>
              </w:rPr>
            </w:pPr>
            <w:r w:rsidRPr="00A16FA9">
              <w:rPr>
                <w:rFonts w:ascii="Times New Roman" w:eastAsia="Times New Roman" w:hAnsi="Times New Roman" w:cs="Times New Roman"/>
                <w:color w:val="000000"/>
                <w:sz w:val="20"/>
                <w:szCs w:val="24"/>
              </w:rPr>
              <w:t> 2 408 116</w:t>
            </w:r>
          </w:p>
        </w:tc>
      </w:tr>
      <w:tr w:rsidR="00950BDF" w:rsidRPr="00A16FA9" w:rsidTr="00A16FA9">
        <w:trPr>
          <w:jc w:val="center"/>
        </w:trPr>
        <w:tc>
          <w:tcPr>
            <w:tcW w:w="0" w:type="auto"/>
            <w:tcBorders>
              <w:bottom w:val="single" w:sz="12" w:space="0" w:color="auto"/>
              <w:right w:val="single" w:sz="12" w:space="0" w:color="auto"/>
            </w:tcBorders>
            <w:shd w:val="clear" w:color="auto" w:fill="auto"/>
            <w:noWrap/>
            <w:vAlign w:val="bottom"/>
            <w:hideMark/>
          </w:tcPr>
          <w:p w:rsidR="00950BDF" w:rsidRPr="00A16FA9" w:rsidRDefault="00950BDF" w:rsidP="00F71484">
            <w:pPr>
              <w:spacing w:after="0" w:line="240" w:lineRule="auto"/>
              <w:ind w:left="113" w:right="113"/>
              <w:rPr>
                <w:rFonts w:ascii="Times New Roman" w:eastAsia="Times New Roman" w:hAnsi="Times New Roman" w:cs="Times New Roman"/>
                <w:color w:val="000000"/>
                <w:sz w:val="20"/>
                <w:szCs w:val="24"/>
              </w:rPr>
            </w:pPr>
            <w:r w:rsidRPr="00A16FA9">
              <w:rPr>
                <w:rFonts w:ascii="Times New Roman" w:eastAsia="Times New Roman" w:hAnsi="Times New Roman" w:cs="Times New Roman"/>
                <w:color w:val="000000"/>
                <w:sz w:val="20"/>
                <w:szCs w:val="24"/>
              </w:rPr>
              <w:t>Средногодишни разходи за управление на ИЕЯС</w:t>
            </w:r>
          </w:p>
        </w:tc>
        <w:tc>
          <w:tcPr>
            <w:tcW w:w="0" w:type="auto"/>
            <w:tcBorders>
              <w:left w:val="single" w:sz="12" w:space="0" w:color="auto"/>
            </w:tcBorders>
            <w:shd w:val="clear" w:color="auto" w:fill="auto"/>
            <w:noWrap/>
            <w:vAlign w:val="bottom"/>
            <w:hideMark/>
          </w:tcPr>
          <w:p w:rsidR="00950BDF" w:rsidRPr="00A16FA9" w:rsidRDefault="00950BDF" w:rsidP="00F71484">
            <w:pPr>
              <w:spacing w:after="0" w:line="240" w:lineRule="auto"/>
              <w:ind w:left="113" w:right="113"/>
              <w:jc w:val="center"/>
              <w:rPr>
                <w:rFonts w:ascii="Times New Roman" w:eastAsia="Times New Roman" w:hAnsi="Times New Roman" w:cs="Times New Roman"/>
                <w:color w:val="000000"/>
                <w:sz w:val="20"/>
                <w:szCs w:val="24"/>
              </w:rPr>
            </w:pPr>
            <w:r w:rsidRPr="00A16FA9">
              <w:rPr>
                <w:rFonts w:ascii="Times New Roman" w:eastAsia="Times New Roman" w:hAnsi="Times New Roman" w:cs="Times New Roman"/>
                <w:color w:val="000000"/>
                <w:sz w:val="20"/>
                <w:szCs w:val="24"/>
              </w:rPr>
              <w:t>евро/mWh</w:t>
            </w:r>
          </w:p>
        </w:tc>
        <w:tc>
          <w:tcPr>
            <w:tcW w:w="0" w:type="auto"/>
            <w:shd w:val="clear" w:color="auto" w:fill="auto"/>
            <w:noWrap/>
            <w:vAlign w:val="bottom"/>
            <w:hideMark/>
          </w:tcPr>
          <w:p w:rsidR="00950BDF" w:rsidRPr="00A16FA9" w:rsidRDefault="00950BDF" w:rsidP="00E6666C">
            <w:pPr>
              <w:spacing w:after="0" w:line="240" w:lineRule="auto"/>
              <w:ind w:left="113" w:right="113"/>
              <w:jc w:val="right"/>
              <w:rPr>
                <w:rFonts w:ascii="Times New Roman" w:eastAsia="Times New Roman" w:hAnsi="Times New Roman" w:cs="Times New Roman"/>
                <w:color w:val="000000"/>
                <w:sz w:val="20"/>
                <w:szCs w:val="24"/>
              </w:rPr>
            </w:pPr>
            <w:r w:rsidRPr="00A16FA9">
              <w:rPr>
                <w:rFonts w:ascii="Times New Roman" w:eastAsia="Times New Roman" w:hAnsi="Times New Roman" w:cs="Times New Roman"/>
                <w:color w:val="000000"/>
                <w:sz w:val="20"/>
                <w:szCs w:val="24"/>
              </w:rPr>
              <w:t> 2</w:t>
            </w:r>
            <w:r w:rsidR="00E6666C">
              <w:rPr>
                <w:rFonts w:ascii="Times New Roman" w:eastAsia="Times New Roman" w:hAnsi="Times New Roman" w:cs="Times New Roman"/>
                <w:color w:val="000000"/>
                <w:sz w:val="20"/>
                <w:szCs w:val="24"/>
                <w:lang w:val="en-US"/>
              </w:rPr>
              <w:t>,</w:t>
            </w:r>
            <w:r w:rsidRPr="00A16FA9">
              <w:rPr>
                <w:rFonts w:ascii="Times New Roman" w:eastAsia="Times New Roman" w:hAnsi="Times New Roman" w:cs="Times New Roman"/>
                <w:color w:val="000000"/>
                <w:sz w:val="20"/>
                <w:szCs w:val="24"/>
              </w:rPr>
              <w:t>74</w:t>
            </w:r>
          </w:p>
        </w:tc>
      </w:tr>
    </w:tbl>
    <w:p w:rsidR="00950BDF" w:rsidRDefault="00950BDF" w:rsidP="00E44C19">
      <w:pPr>
        <w:spacing w:before="120" w:after="120" w:line="240" w:lineRule="auto"/>
        <w:jc w:val="center"/>
        <w:rPr>
          <w:rFonts w:ascii="Times New Roman" w:hAnsi="Times New Roman" w:cs="Times New Roman"/>
          <w:sz w:val="20"/>
          <w:szCs w:val="24"/>
        </w:rPr>
      </w:pPr>
      <w:r w:rsidRPr="00CA6AE8">
        <w:rPr>
          <w:rFonts w:ascii="Times New Roman" w:hAnsi="Times New Roman" w:cs="Times New Roman"/>
          <w:sz w:val="20"/>
          <w:szCs w:val="24"/>
        </w:rPr>
        <w:t>Източник: Съставена от авторите на основа на получени резултати от модела.</w:t>
      </w:r>
    </w:p>
    <w:p w:rsidR="00233DB8" w:rsidRPr="00CA6AE8" w:rsidRDefault="00233DB8" w:rsidP="00E44C19">
      <w:pPr>
        <w:spacing w:before="120" w:after="120" w:line="240" w:lineRule="auto"/>
        <w:jc w:val="center"/>
        <w:rPr>
          <w:rFonts w:ascii="Times New Roman" w:hAnsi="Times New Roman" w:cs="Times New Roman"/>
          <w:sz w:val="20"/>
          <w:szCs w:val="24"/>
          <w:lang w:val="en-US"/>
        </w:rPr>
      </w:pP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 xml:space="preserve">Няма достатъчно информация относно налични еталонни стойности за разходи за РАО и ИЕЯС. Предвид факта, че във финансовия модел за АЕЦ „Белене“ тези разходи са разработени съобразно изисквания на работния документ на Европейската комисия </w:t>
      </w:r>
      <w:r w:rsidR="00A16FA9">
        <w:rPr>
          <w:rFonts w:ascii="Times New Roman" w:hAnsi="Times New Roman" w:cs="Times New Roman"/>
          <w:sz w:val="24"/>
          <w:szCs w:val="24"/>
        </w:rPr>
        <w:t>–</w:t>
      </w:r>
      <w:r w:rsidRPr="00950BDF">
        <w:rPr>
          <w:rFonts w:ascii="Times New Roman" w:hAnsi="Times New Roman" w:cs="Times New Roman"/>
          <w:sz w:val="24"/>
          <w:szCs w:val="24"/>
        </w:rPr>
        <w:t xml:space="preserve"> „C</w:t>
      </w:r>
      <w:r w:rsidR="00A16FA9" w:rsidRPr="00950BDF">
        <w:rPr>
          <w:rFonts w:ascii="Times New Roman" w:hAnsi="Times New Roman" w:cs="Times New Roman"/>
          <w:sz w:val="24"/>
          <w:szCs w:val="24"/>
        </w:rPr>
        <w:t>ommission</w:t>
      </w:r>
      <w:r w:rsidRPr="00950BDF">
        <w:rPr>
          <w:rFonts w:ascii="Times New Roman" w:hAnsi="Times New Roman" w:cs="Times New Roman"/>
          <w:sz w:val="24"/>
          <w:szCs w:val="24"/>
        </w:rPr>
        <w:t>S</w:t>
      </w:r>
      <w:r w:rsidR="00A16FA9" w:rsidRPr="00950BDF">
        <w:rPr>
          <w:rFonts w:ascii="Times New Roman" w:hAnsi="Times New Roman" w:cs="Times New Roman"/>
          <w:sz w:val="24"/>
          <w:szCs w:val="24"/>
        </w:rPr>
        <w:t>taff</w:t>
      </w:r>
      <w:r w:rsidRPr="00950BDF">
        <w:rPr>
          <w:rFonts w:ascii="Times New Roman" w:hAnsi="Times New Roman" w:cs="Times New Roman"/>
          <w:sz w:val="24"/>
          <w:szCs w:val="24"/>
        </w:rPr>
        <w:t>W</w:t>
      </w:r>
      <w:r w:rsidR="00A16FA9" w:rsidRPr="00950BDF">
        <w:rPr>
          <w:rFonts w:ascii="Times New Roman" w:hAnsi="Times New Roman" w:cs="Times New Roman"/>
          <w:sz w:val="24"/>
          <w:szCs w:val="24"/>
        </w:rPr>
        <w:t>orking</w:t>
      </w:r>
      <w:r w:rsidRPr="00950BDF">
        <w:rPr>
          <w:rFonts w:ascii="Times New Roman" w:hAnsi="Times New Roman" w:cs="Times New Roman"/>
          <w:sz w:val="24"/>
          <w:szCs w:val="24"/>
        </w:rPr>
        <w:t>D</w:t>
      </w:r>
      <w:r w:rsidR="00A16FA9" w:rsidRPr="00950BDF">
        <w:rPr>
          <w:rFonts w:ascii="Times New Roman" w:hAnsi="Times New Roman" w:cs="Times New Roman"/>
          <w:sz w:val="24"/>
          <w:szCs w:val="24"/>
        </w:rPr>
        <w:t>ocumenta</w:t>
      </w:r>
      <w:r w:rsidRPr="00950BDF">
        <w:rPr>
          <w:rFonts w:ascii="Times New Roman" w:hAnsi="Times New Roman" w:cs="Times New Roman"/>
          <w:sz w:val="24"/>
          <w:szCs w:val="24"/>
        </w:rPr>
        <w:t>ccompanyingthedocumentCommunicationfromtheCommissionNuclearIllustrativeProgrammePresentedunderArticle 40 oftheEuratomTreaty</w:t>
      </w:r>
      <w:r w:rsidR="00A16FA9">
        <w:rPr>
          <w:rFonts w:ascii="Times New Roman" w:hAnsi="Times New Roman" w:cs="Times New Roman"/>
          <w:sz w:val="24"/>
          <w:szCs w:val="24"/>
        </w:rPr>
        <w:t>–</w:t>
      </w:r>
      <w:r w:rsidRPr="00950BDF">
        <w:rPr>
          <w:rFonts w:ascii="Times New Roman" w:hAnsi="Times New Roman" w:cs="Times New Roman"/>
          <w:sz w:val="24"/>
          <w:szCs w:val="24"/>
        </w:rPr>
        <w:t>Final (afteropinionofEESC){COM(2017) 237 final}, Brussels, 2017,и е заложено спазването на най-високите изисквания, то получените резултати могат да се разглеждат като достатъчно аргументирани.</w:t>
      </w:r>
    </w:p>
    <w:p w:rsidR="00950BDF" w:rsidRPr="00950BDF" w:rsidRDefault="00950BDF" w:rsidP="00E44C19">
      <w:pPr>
        <w:spacing w:before="120" w:after="120" w:line="240" w:lineRule="auto"/>
        <w:ind w:left="708"/>
        <w:rPr>
          <w:rFonts w:ascii="Times New Roman" w:hAnsi="Times New Roman" w:cs="Times New Roman"/>
          <w:b/>
          <w:sz w:val="24"/>
          <w:szCs w:val="24"/>
        </w:rPr>
      </w:pPr>
    </w:p>
    <w:p w:rsidR="00950BDF" w:rsidRPr="00F71484" w:rsidRDefault="00950BDF" w:rsidP="00E44C19">
      <w:pPr>
        <w:pStyle w:val="Heading4"/>
        <w:spacing w:before="120" w:after="120" w:line="240" w:lineRule="auto"/>
        <w:rPr>
          <w:rFonts w:ascii="Times New Roman" w:hAnsi="Times New Roman" w:cs="Times New Roman"/>
          <w:b w:val="0"/>
          <w:color w:val="auto"/>
          <w:sz w:val="24"/>
          <w:szCs w:val="24"/>
        </w:rPr>
      </w:pPr>
      <w:r w:rsidRPr="00F71484">
        <w:rPr>
          <w:rFonts w:ascii="Times New Roman" w:hAnsi="Times New Roman" w:cs="Times New Roman"/>
          <w:b w:val="0"/>
          <w:color w:val="auto"/>
          <w:sz w:val="24"/>
          <w:szCs w:val="24"/>
        </w:rPr>
        <w:t>Оперативни приходи</w:t>
      </w:r>
    </w:p>
    <w:p w:rsidR="00950BDF" w:rsidRDefault="00950BDF" w:rsidP="00A16FA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 xml:space="preserve">Оперативните приходи при допускането за 100% натоварване на мощностите и изкупуване на цялата нето произведена електроенергия за всеки от </w:t>
      </w:r>
      <w:r w:rsidR="00A16FA9">
        <w:rPr>
          <w:rFonts w:ascii="Times New Roman" w:hAnsi="Times New Roman" w:cs="Times New Roman"/>
          <w:sz w:val="24"/>
          <w:szCs w:val="24"/>
        </w:rPr>
        <w:t>пет</w:t>
      </w:r>
      <w:r w:rsidRPr="00950BDF">
        <w:rPr>
          <w:rFonts w:ascii="Times New Roman" w:hAnsi="Times New Roman" w:cs="Times New Roman"/>
          <w:sz w:val="24"/>
          <w:szCs w:val="24"/>
        </w:rPr>
        <w:t>те сценария на цените са изложени в</w:t>
      </w:r>
      <w:r w:rsidR="002C6255">
        <w:rPr>
          <w:rFonts w:ascii="Times New Roman" w:hAnsi="Times New Roman" w:cs="Times New Roman"/>
          <w:sz w:val="24"/>
          <w:szCs w:val="24"/>
        </w:rPr>
        <w:t xml:space="preserve"> табл. </w:t>
      </w:r>
      <w:r w:rsidR="002C6255" w:rsidRPr="00E44C19">
        <w:rPr>
          <w:rFonts w:ascii="Times New Roman" w:hAnsi="Times New Roman" w:cs="Times New Roman"/>
          <w:sz w:val="24"/>
          <w:szCs w:val="24"/>
          <w:lang w:val="en-US"/>
        </w:rPr>
        <w:t>V.</w:t>
      </w:r>
      <w:r w:rsidR="002C6255">
        <w:rPr>
          <w:rFonts w:ascii="Times New Roman" w:hAnsi="Times New Roman" w:cs="Times New Roman"/>
          <w:sz w:val="24"/>
          <w:szCs w:val="24"/>
        </w:rPr>
        <w:t>1</w:t>
      </w:r>
      <w:r w:rsidR="00FB17F2">
        <w:rPr>
          <w:rFonts w:ascii="Times New Roman" w:hAnsi="Times New Roman" w:cs="Times New Roman"/>
          <w:sz w:val="24"/>
          <w:szCs w:val="24"/>
        </w:rPr>
        <w:t>5</w:t>
      </w:r>
      <w:r w:rsidRPr="00950BDF">
        <w:rPr>
          <w:rFonts w:ascii="Times New Roman" w:hAnsi="Times New Roman" w:cs="Times New Roman"/>
          <w:sz w:val="24"/>
          <w:szCs w:val="24"/>
        </w:rPr>
        <w:t>.</w:t>
      </w:r>
    </w:p>
    <w:p w:rsidR="00233DB8" w:rsidRDefault="00233DB8" w:rsidP="00A16FA9">
      <w:pPr>
        <w:spacing w:before="120" w:after="120" w:line="240" w:lineRule="auto"/>
        <w:jc w:val="both"/>
        <w:rPr>
          <w:rFonts w:ascii="Times New Roman" w:hAnsi="Times New Roman" w:cs="Times New Roman"/>
          <w:sz w:val="24"/>
          <w:szCs w:val="24"/>
        </w:rPr>
      </w:pPr>
    </w:p>
    <w:p w:rsidR="00950BDF" w:rsidRPr="00FB17F2" w:rsidRDefault="00FB17F2" w:rsidP="00FB17F2">
      <w:pPr>
        <w:pStyle w:val="Caption"/>
        <w:rPr>
          <w:rFonts w:ascii="Times New Roman" w:hAnsi="Times New Roman"/>
          <w:szCs w:val="24"/>
        </w:rPr>
      </w:pPr>
      <w:bookmarkStart w:id="155" w:name="_Toc491990985"/>
      <w:bookmarkStart w:id="156" w:name="_Toc491994420"/>
      <w:bookmarkStart w:id="157" w:name="_Toc493240911"/>
      <w:r w:rsidRPr="00FB17F2">
        <w:rPr>
          <w:rFonts w:hint="eastAsia"/>
        </w:rPr>
        <w:lastRenderedPageBreak/>
        <w:t>Таблица</w:t>
      </w:r>
      <w:r w:rsidRPr="00FB17F2">
        <w:t xml:space="preserve"> V.</w:t>
      </w:r>
      <w:r w:rsidR="0097530B">
        <w:fldChar w:fldCharType="begin"/>
      </w:r>
      <w:r w:rsidR="00042F89">
        <w:instrText xml:space="preserve"> SEQ Таблица_V. \* ARABIC </w:instrText>
      </w:r>
      <w:r w:rsidR="0097530B">
        <w:fldChar w:fldCharType="separate"/>
      </w:r>
      <w:r w:rsidR="00F44EBF">
        <w:rPr>
          <w:noProof/>
        </w:rPr>
        <w:t>15</w:t>
      </w:r>
      <w:r w:rsidR="0097530B">
        <w:rPr>
          <w:noProof/>
        </w:rPr>
        <w:fldChar w:fldCharType="end"/>
      </w:r>
      <w:r w:rsidRPr="00FB17F2">
        <w:rPr>
          <w:rFonts w:asciiTheme="minorHAnsi" w:hAnsiTheme="minorHAnsi"/>
        </w:rPr>
        <w:t xml:space="preserve">. </w:t>
      </w:r>
      <w:r w:rsidR="00950BDF" w:rsidRPr="00FB17F2">
        <w:rPr>
          <w:rFonts w:ascii="Times New Roman" w:hAnsi="Times New Roman"/>
          <w:szCs w:val="24"/>
        </w:rPr>
        <w:t>Оперативни приходи за периода 2027-2087 г. при различни сценарии за цените</w:t>
      </w:r>
      <w:bookmarkEnd w:id="155"/>
      <w:bookmarkEnd w:id="156"/>
      <w:bookmarkEnd w:id="157"/>
    </w:p>
    <w:tbl>
      <w:tblPr>
        <w:tblW w:w="0" w:type="auto"/>
        <w:jc w:val="center"/>
        <w:tblCellMar>
          <w:left w:w="70" w:type="dxa"/>
          <w:right w:w="70" w:type="dxa"/>
        </w:tblCellMar>
        <w:tblLook w:val="04A0" w:firstRow="1" w:lastRow="0" w:firstColumn="1" w:lastColumn="0" w:noHBand="0" w:noVBand="1"/>
      </w:tblPr>
      <w:tblGrid>
        <w:gridCol w:w="7709"/>
        <w:gridCol w:w="1503"/>
      </w:tblGrid>
      <w:tr w:rsidR="00950BDF" w:rsidRPr="00A16FA9" w:rsidTr="002A0227">
        <w:trPr>
          <w:tblHeader/>
          <w:jc w:val="center"/>
        </w:trPr>
        <w:tc>
          <w:tcPr>
            <w:tcW w:w="0" w:type="auto"/>
            <w:tcBorders>
              <w:top w:val="single" w:sz="12" w:space="0" w:color="auto"/>
              <w:left w:val="single" w:sz="12" w:space="0" w:color="auto"/>
              <w:bottom w:val="single" w:sz="12" w:space="0" w:color="auto"/>
              <w:right w:val="single" w:sz="12" w:space="0" w:color="auto"/>
            </w:tcBorders>
            <w:shd w:val="clear" w:color="auto" w:fill="D9D9D9"/>
            <w:vAlign w:val="center"/>
          </w:tcPr>
          <w:p w:rsidR="00950BDF" w:rsidRPr="00A16FA9" w:rsidRDefault="00950BDF" w:rsidP="00E44C19">
            <w:pPr>
              <w:spacing w:after="0" w:line="240" w:lineRule="auto"/>
              <w:jc w:val="center"/>
              <w:rPr>
                <w:rFonts w:ascii="Times New Roman" w:eastAsia="Times New Roman" w:hAnsi="Times New Roman" w:cs="Times New Roman"/>
                <w:b/>
                <w:bCs/>
                <w:color w:val="000000"/>
                <w:sz w:val="20"/>
                <w:szCs w:val="24"/>
              </w:rPr>
            </w:pPr>
            <w:r w:rsidRPr="00A16FA9">
              <w:rPr>
                <w:rFonts w:ascii="Times New Roman" w:eastAsia="Times New Roman" w:hAnsi="Times New Roman" w:cs="Times New Roman"/>
                <w:b/>
                <w:bCs/>
                <w:color w:val="000000"/>
                <w:sz w:val="20"/>
                <w:szCs w:val="24"/>
              </w:rPr>
              <w:t>Сценарии на цените</w:t>
            </w:r>
          </w:p>
        </w:tc>
        <w:tc>
          <w:tcPr>
            <w:tcW w:w="0" w:type="auto"/>
            <w:tcBorders>
              <w:top w:val="single" w:sz="12" w:space="0" w:color="auto"/>
              <w:left w:val="single" w:sz="12" w:space="0" w:color="auto"/>
              <w:bottom w:val="single" w:sz="12" w:space="0" w:color="auto"/>
              <w:right w:val="single" w:sz="12" w:space="0" w:color="auto"/>
            </w:tcBorders>
            <w:shd w:val="clear" w:color="auto" w:fill="D9D9D9"/>
            <w:vAlign w:val="center"/>
          </w:tcPr>
          <w:p w:rsidR="00950BDF" w:rsidRPr="00A16FA9" w:rsidRDefault="00950BDF" w:rsidP="00E44C19">
            <w:pPr>
              <w:spacing w:after="0" w:line="240" w:lineRule="auto"/>
              <w:jc w:val="center"/>
              <w:rPr>
                <w:rFonts w:ascii="Times New Roman" w:eastAsia="Times New Roman" w:hAnsi="Times New Roman" w:cs="Times New Roman"/>
                <w:b/>
                <w:color w:val="000000"/>
                <w:sz w:val="20"/>
                <w:szCs w:val="24"/>
              </w:rPr>
            </w:pPr>
            <w:r w:rsidRPr="00A16FA9">
              <w:rPr>
                <w:rFonts w:ascii="Times New Roman" w:eastAsia="Times New Roman" w:hAnsi="Times New Roman" w:cs="Times New Roman"/>
                <w:b/>
                <w:color w:val="000000"/>
                <w:sz w:val="20"/>
                <w:szCs w:val="24"/>
              </w:rPr>
              <w:t>Приходи, хил.евро</w:t>
            </w:r>
          </w:p>
        </w:tc>
      </w:tr>
      <w:tr w:rsidR="00950BDF" w:rsidRPr="00A16FA9" w:rsidTr="002A0227">
        <w:trPr>
          <w:jc w:val="center"/>
        </w:trPr>
        <w:tc>
          <w:tcPr>
            <w:tcW w:w="0" w:type="auto"/>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rsidR="00950BDF" w:rsidRPr="00A16FA9" w:rsidRDefault="00950BDF" w:rsidP="00E44C19">
            <w:pPr>
              <w:spacing w:after="0" w:line="240" w:lineRule="auto"/>
              <w:rPr>
                <w:rFonts w:ascii="Times New Roman" w:eastAsia="Times New Roman" w:hAnsi="Times New Roman" w:cs="Times New Roman"/>
                <w:color w:val="000000"/>
                <w:sz w:val="20"/>
                <w:szCs w:val="24"/>
              </w:rPr>
            </w:pPr>
            <w:r w:rsidRPr="00A16FA9">
              <w:rPr>
                <w:rFonts w:ascii="Times New Roman" w:eastAsia="Times New Roman" w:hAnsi="Times New Roman" w:cs="Times New Roman"/>
                <w:b/>
                <w:bCs/>
                <w:color w:val="000000"/>
                <w:sz w:val="20"/>
                <w:szCs w:val="24"/>
              </w:rPr>
              <w:t>Цени на вътрешен пазар</w:t>
            </w:r>
          </w:p>
        </w:tc>
      </w:tr>
      <w:tr w:rsidR="00950BDF" w:rsidRPr="00A16FA9" w:rsidTr="002A0227">
        <w:trPr>
          <w:jc w:val="center"/>
        </w:trPr>
        <w:tc>
          <w:tcPr>
            <w:tcW w:w="0" w:type="auto"/>
            <w:tcBorders>
              <w:top w:val="nil"/>
              <w:left w:val="single" w:sz="12" w:space="0" w:color="auto"/>
              <w:bottom w:val="single" w:sz="4" w:space="0" w:color="auto"/>
              <w:right w:val="single" w:sz="12" w:space="0" w:color="auto"/>
            </w:tcBorders>
            <w:shd w:val="clear" w:color="auto" w:fill="auto"/>
            <w:vAlign w:val="center"/>
            <w:hideMark/>
          </w:tcPr>
          <w:p w:rsidR="00950BDF" w:rsidRPr="00A16FA9" w:rsidRDefault="00950BDF" w:rsidP="00E44C19">
            <w:pPr>
              <w:spacing w:after="0" w:line="240" w:lineRule="auto"/>
              <w:ind w:left="226"/>
              <w:rPr>
                <w:rFonts w:ascii="Times New Roman" w:eastAsia="Times New Roman" w:hAnsi="Times New Roman" w:cs="Times New Roman"/>
                <w:color w:val="000000"/>
                <w:sz w:val="20"/>
                <w:szCs w:val="24"/>
              </w:rPr>
            </w:pPr>
            <w:r w:rsidRPr="00A16FA9">
              <w:rPr>
                <w:rFonts w:ascii="Times New Roman" w:eastAsia="Times New Roman" w:hAnsi="Times New Roman" w:cs="Times New Roman"/>
                <w:color w:val="000000"/>
                <w:sz w:val="20"/>
                <w:szCs w:val="24"/>
              </w:rPr>
              <w:t xml:space="preserve">Цена на електроенергия </w:t>
            </w:r>
            <w:r w:rsidR="00A16FA9">
              <w:rPr>
                <w:rFonts w:ascii="Times New Roman" w:eastAsia="Times New Roman" w:hAnsi="Times New Roman" w:cs="Times New Roman"/>
                <w:color w:val="000000"/>
                <w:sz w:val="20"/>
                <w:szCs w:val="24"/>
              </w:rPr>
              <w:t>–</w:t>
            </w:r>
            <w:r w:rsidRPr="00A16FA9">
              <w:rPr>
                <w:rFonts w:ascii="Times New Roman" w:eastAsia="Times New Roman" w:hAnsi="Times New Roman" w:cs="Times New Roman"/>
                <w:color w:val="000000"/>
                <w:sz w:val="20"/>
                <w:szCs w:val="24"/>
              </w:rPr>
              <w:t xml:space="preserve"> максимален сценарий</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hideMark/>
          </w:tcPr>
          <w:p w:rsidR="00950BDF" w:rsidRPr="00A16FA9" w:rsidRDefault="00950BDF" w:rsidP="00A16FA9">
            <w:pPr>
              <w:spacing w:after="0" w:line="240" w:lineRule="auto"/>
              <w:jc w:val="center"/>
              <w:rPr>
                <w:rFonts w:ascii="Times New Roman" w:hAnsi="Times New Roman" w:cs="Times New Roman"/>
                <w:color w:val="000000"/>
                <w:sz w:val="20"/>
                <w:szCs w:val="24"/>
              </w:rPr>
            </w:pPr>
            <w:r w:rsidRPr="00A16FA9">
              <w:rPr>
                <w:rFonts w:ascii="Times New Roman" w:hAnsi="Times New Roman" w:cs="Times New Roman"/>
                <w:color w:val="000000"/>
                <w:sz w:val="20"/>
                <w:szCs w:val="24"/>
              </w:rPr>
              <w:t>85 356 779</w:t>
            </w:r>
          </w:p>
        </w:tc>
      </w:tr>
      <w:tr w:rsidR="00950BDF" w:rsidRPr="00A16FA9" w:rsidTr="002A0227">
        <w:trPr>
          <w:jc w:val="center"/>
        </w:trPr>
        <w:tc>
          <w:tcPr>
            <w:tcW w:w="0" w:type="auto"/>
            <w:tcBorders>
              <w:top w:val="nil"/>
              <w:left w:val="single" w:sz="12" w:space="0" w:color="auto"/>
              <w:bottom w:val="single" w:sz="4" w:space="0" w:color="auto"/>
              <w:right w:val="single" w:sz="12" w:space="0" w:color="auto"/>
            </w:tcBorders>
            <w:shd w:val="clear" w:color="auto" w:fill="auto"/>
            <w:vAlign w:val="center"/>
            <w:hideMark/>
          </w:tcPr>
          <w:p w:rsidR="00950BDF" w:rsidRPr="00A16FA9" w:rsidRDefault="00950BDF" w:rsidP="00E44C19">
            <w:pPr>
              <w:spacing w:after="0" w:line="240" w:lineRule="auto"/>
              <w:ind w:left="226"/>
              <w:rPr>
                <w:rFonts w:ascii="Times New Roman" w:eastAsia="Times New Roman" w:hAnsi="Times New Roman" w:cs="Times New Roman"/>
                <w:color w:val="000000"/>
                <w:sz w:val="20"/>
                <w:szCs w:val="24"/>
              </w:rPr>
            </w:pPr>
            <w:r w:rsidRPr="00A16FA9">
              <w:rPr>
                <w:rFonts w:ascii="Times New Roman" w:eastAsia="Times New Roman" w:hAnsi="Times New Roman" w:cs="Times New Roman"/>
                <w:color w:val="000000"/>
                <w:sz w:val="20"/>
                <w:szCs w:val="24"/>
              </w:rPr>
              <w:t xml:space="preserve">Цена на електроенергия </w:t>
            </w:r>
            <w:r w:rsidR="00A16FA9">
              <w:rPr>
                <w:rFonts w:ascii="Times New Roman" w:eastAsia="Times New Roman" w:hAnsi="Times New Roman" w:cs="Times New Roman"/>
                <w:color w:val="000000"/>
                <w:sz w:val="20"/>
                <w:szCs w:val="24"/>
              </w:rPr>
              <w:t>–</w:t>
            </w:r>
            <w:r w:rsidRPr="00A16FA9">
              <w:rPr>
                <w:rFonts w:ascii="Times New Roman" w:eastAsia="Times New Roman" w:hAnsi="Times New Roman" w:cs="Times New Roman"/>
                <w:color w:val="000000"/>
                <w:sz w:val="20"/>
                <w:szCs w:val="24"/>
              </w:rPr>
              <w:t xml:space="preserve"> минимален сценарий</w:t>
            </w:r>
          </w:p>
        </w:tc>
        <w:tc>
          <w:tcPr>
            <w:tcW w:w="0" w:type="auto"/>
            <w:tcBorders>
              <w:top w:val="nil"/>
              <w:left w:val="single" w:sz="12" w:space="0" w:color="auto"/>
              <w:bottom w:val="single" w:sz="4" w:space="0" w:color="auto"/>
              <w:right w:val="single" w:sz="12" w:space="0" w:color="auto"/>
            </w:tcBorders>
            <w:shd w:val="clear" w:color="auto" w:fill="auto"/>
            <w:vAlign w:val="center"/>
            <w:hideMark/>
          </w:tcPr>
          <w:p w:rsidR="00950BDF" w:rsidRPr="00A16FA9" w:rsidRDefault="00950BDF" w:rsidP="00A16FA9">
            <w:pPr>
              <w:spacing w:after="0" w:line="240" w:lineRule="auto"/>
              <w:jc w:val="center"/>
              <w:rPr>
                <w:rFonts w:ascii="Times New Roman" w:hAnsi="Times New Roman" w:cs="Times New Roman"/>
                <w:color w:val="000000"/>
                <w:sz w:val="20"/>
                <w:szCs w:val="24"/>
              </w:rPr>
            </w:pPr>
            <w:r w:rsidRPr="00A16FA9">
              <w:rPr>
                <w:rFonts w:ascii="Times New Roman" w:hAnsi="Times New Roman" w:cs="Times New Roman"/>
                <w:color w:val="000000"/>
                <w:sz w:val="20"/>
                <w:szCs w:val="24"/>
              </w:rPr>
              <w:t>65 038 395</w:t>
            </w:r>
          </w:p>
        </w:tc>
      </w:tr>
      <w:tr w:rsidR="00950BDF" w:rsidRPr="00A16FA9" w:rsidTr="002A0227">
        <w:trPr>
          <w:jc w:val="center"/>
        </w:trPr>
        <w:tc>
          <w:tcPr>
            <w:tcW w:w="0" w:type="auto"/>
            <w:tcBorders>
              <w:top w:val="nil"/>
              <w:left w:val="single" w:sz="12" w:space="0" w:color="auto"/>
              <w:bottom w:val="single" w:sz="4" w:space="0" w:color="auto"/>
              <w:right w:val="single" w:sz="12" w:space="0" w:color="auto"/>
            </w:tcBorders>
            <w:shd w:val="clear" w:color="auto" w:fill="auto"/>
            <w:vAlign w:val="center"/>
            <w:hideMark/>
          </w:tcPr>
          <w:p w:rsidR="00950BDF" w:rsidRPr="00A16FA9" w:rsidRDefault="00950BDF" w:rsidP="00E44C19">
            <w:pPr>
              <w:spacing w:after="0" w:line="240" w:lineRule="auto"/>
              <w:ind w:left="226"/>
              <w:rPr>
                <w:rFonts w:ascii="Times New Roman" w:eastAsia="Times New Roman" w:hAnsi="Times New Roman" w:cs="Times New Roman"/>
                <w:color w:val="000000"/>
                <w:sz w:val="20"/>
                <w:szCs w:val="24"/>
              </w:rPr>
            </w:pPr>
            <w:r w:rsidRPr="00A16FA9">
              <w:rPr>
                <w:rFonts w:ascii="Times New Roman" w:eastAsia="Times New Roman" w:hAnsi="Times New Roman" w:cs="Times New Roman"/>
                <w:color w:val="000000"/>
                <w:sz w:val="20"/>
                <w:szCs w:val="24"/>
              </w:rPr>
              <w:t xml:space="preserve">Цена на електроенергия </w:t>
            </w:r>
            <w:r w:rsidR="00A16FA9">
              <w:rPr>
                <w:rFonts w:ascii="Times New Roman" w:eastAsia="Times New Roman" w:hAnsi="Times New Roman" w:cs="Times New Roman"/>
                <w:color w:val="000000"/>
                <w:sz w:val="20"/>
                <w:szCs w:val="24"/>
              </w:rPr>
              <w:t>–</w:t>
            </w:r>
            <w:r w:rsidRPr="00A16FA9">
              <w:rPr>
                <w:rFonts w:ascii="Times New Roman" w:eastAsia="Times New Roman" w:hAnsi="Times New Roman" w:cs="Times New Roman"/>
                <w:color w:val="000000"/>
                <w:sz w:val="20"/>
                <w:szCs w:val="24"/>
              </w:rPr>
              <w:t xml:space="preserve"> среден сценарий</w:t>
            </w:r>
          </w:p>
        </w:tc>
        <w:tc>
          <w:tcPr>
            <w:tcW w:w="0" w:type="auto"/>
            <w:tcBorders>
              <w:top w:val="nil"/>
              <w:left w:val="single" w:sz="12" w:space="0" w:color="auto"/>
              <w:bottom w:val="single" w:sz="4" w:space="0" w:color="auto"/>
              <w:right w:val="single" w:sz="12" w:space="0" w:color="auto"/>
            </w:tcBorders>
            <w:shd w:val="clear" w:color="auto" w:fill="auto"/>
            <w:vAlign w:val="center"/>
            <w:hideMark/>
          </w:tcPr>
          <w:p w:rsidR="00950BDF" w:rsidRPr="00A16FA9" w:rsidRDefault="00950BDF" w:rsidP="00A16FA9">
            <w:pPr>
              <w:spacing w:after="0" w:line="240" w:lineRule="auto"/>
              <w:jc w:val="center"/>
              <w:rPr>
                <w:rFonts w:ascii="Times New Roman" w:hAnsi="Times New Roman" w:cs="Times New Roman"/>
                <w:color w:val="000000"/>
                <w:sz w:val="20"/>
                <w:szCs w:val="24"/>
              </w:rPr>
            </w:pPr>
            <w:r w:rsidRPr="00A16FA9">
              <w:rPr>
                <w:rFonts w:ascii="Times New Roman" w:hAnsi="Times New Roman" w:cs="Times New Roman"/>
                <w:color w:val="000000"/>
                <w:sz w:val="20"/>
                <w:szCs w:val="24"/>
              </w:rPr>
              <w:t>75 197 587</w:t>
            </w:r>
          </w:p>
        </w:tc>
      </w:tr>
      <w:tr w:rsidR="00950BDF" w:rsidRPr="00A16FA9" w:rsidTr="002A0227">
        <w:trPr>
          <w:jc w:val="center"/>
        </w:trPr>
        <w:tc>
          <w:tcPr>
            <w:tcW w:w="0" w:type="auto"/>
            <w:gridSpan w:val="2"/>
            <w:tcBorders>
              <w:top w:val="nil"/>
              <w:left w:val="single" w:sz="12" w:space="0" w:color="auto"/>
              <w:bottom w:val="single" w:sz="4" w:space="0" w:color="auto"/>
              <w:right w:val="single" w:sz="12" w:space="0" w:color="auto"/>
            </w:tcBorders>
            <w:shd w:val="clear" w:color="000000" w:fill="FFFFFF"/>
            <w:vAlign w:val="center"/>
            <w:hideMark/>
          </w:tcPr>
          <w:p w:rsidR="00950BDF" w:rsidRPr="00A16FA9" w:rsidRDefault="00950BDF" w:rsidP="00E44C19">
            <w:pPr>
              <w:spacing w:after="0" w:line="240" w:lineRule="auto"/>
              <w:rPr>
                <w:rFonts w:ascii="Times New Roman" w:hAnsi="Times New Roman" w:cs="Times New Roman"/>
                <w:color w:val="000000"/>
                <w:sz w:val="20"/>
                <w:szCs w:val="24"/>
              </w:rPr>
            </w:pPr>
            <w:r w:rsidRPr="00A16FA9">
              <w:rPr>
                <w:rFonts w:ascii="Times New Roman" w:eastAsia="Times New Roman" w:hAnsi="Times New Roman" w:cs="Times New Roman"/>
                <w:b/>
                <w:bCs/>
                <w:color w:val="000000"/>
                <w:sz w:val="20"/>
                <w:szCs w:val="24"/>
              </w:rPr>
              <w:t>Цени на регионален пазар</w:t>
            </w:r>
          </w:p>
        </w:tc>
      </w:tr>
      <w:tr w:rsidR="00950BDF" w:rsidRPr="00A16FA9" w:rsidTr="002A0227">
        <w:trPr>
          <w:jc w:val="center"/>
        </w:trPr>
        <w:tc>
          <w:tcPr>
            <w:tcW w:w="0" w:type="auto"/>
            <w:tcBorders>
              <w:top w:val="nil"/>
              <w:left w:val="single" w:sz="12" w:space="0" w:color="auto"/>
              <w:bottom w:val="single" w:sz="4" w:space="0" w:color="auto"/>
              <w:right w:val="single" w:sz="12" w:space="0" w:color="auto"/>
            </w:tcBorders>
            <w:shd w:val="clear" w:color="000000" w:fill="FFFFFF"/>
            <w:vAlign w:val="center"/>
            <w:hideMark/>
          </w:tcPr>
          <w:p w:rsidR="00950BDF" w:rsidRPr="00A16FA9" w:rsidRDefault="00950BDF" w:rsidP="00E44C19">
            <w:pPr>
              <w:spacing w:after="0" w:line="240" w:lineRule="auto"/>
              <w:ind w:left="226"/>
              <w:rPr>
                <w:rFonts w:ascii="Times New Roman" w:eastAsia="Times New Roman" w:hAnsi="Times New Roman" w:cs="Times New Roman"/>
                <w:color w:val="000000"/>
                <w:sz w:val="20"/>
                <w:szCs w:val="24"/>
              </w:rPr>
            </w:pPr>
            <w:r w:rsidRPr="00A16FA9">
              <w:rPr>
                <w:rFonts w:ascii="Times New Roman" w:eastAsia="Times New Roman" w:hAnsi="Times New Roman" w:cs="Times New Roman"/>
                <w:color w:val="000000"/>
                <w:sz w:val="20"/>
                <w:szCs w:val="24"/>
              </w:rPr>
              <w:t xml:space="preserve">Среднопретеглена регионална цена само за България, Гърция, Румъния и Унгария </w:t>
            </w:r>
            <w:r w:rsidR="00A16FA9">
              <w:rPr>
                <w:rFonts w:ascii="Times New Roman" w:eastAsia="Times New Roman" w:hAnsi="Times New Roman" w:cs="Times New Roman"/>
                <w:color w:val="000000"/>
                <w:sz w:val="20"/>
                <w:szCs w:val="24"/>
              </w:rPr>
              <w:t>–</w:t>
            </w:r>
            <w:r w:rsidRPr="00A16FA9">
              <w:rPr>
                <w:rFonts w:ascii="Times New Roman" w:eastAsia="Times New Roman" w:hAnsi="Times New Roman" w:cs="Times New Roman"/>
                <w:color w:val="000000"/>
                <w:sz w:val="20"/>
                <w:szCs w:val="24"/>
              </w:rPr>
              <w:t xml:space="preserve"> Сценарий 3</w:t>
            </w:r>
          </w:p>
        </w:tc>
        <w:tc>
          <w:tcPr>
            <w:tcW w:w="0" w:type="auto"/>
            <w:tcBorders>
              <w:top w:val="nil"/>
              <w:left w:val="single" w:sz="12" w:space="0" w:color="auto"/>
              <w:bottom w:val="single" w:sz="4" w:space="0" w:color="auto"/>
              <w:right w:val="single" w:sz="12" w:space="0" w:color="auto"/>
            </w:tcBorders>
            <w:shd w:val="clear" w:color="auto" w:fill="auto"/>
            <w:vAlign w:val="center"/>
            <w:hideMark/>
          </w:tcPr>
          <w:p w:rsidR="00950BDF" w:rsidRPr="00A16FA9" w:rsidRDefault="00950BDF" w:rsidP="00A16FA9">
            <w:pPr>
              <w:spacing w:after="0" w:line="240" w:lineRule="auto"/>
              <w:jc w:val="center"/>
              <w:rPr>
                <w:rFonts w:ascii="Times New Roman" w:hAnsi="Times New Roman" w:cs="Times New Roman"/>
                <w:color w:val="000000"/>
                <w:sz w:val="20"/>
                <w:szCs w:val="24"/>
              </w:rPr>
            </w:pPr>
            <w:r w:rsidRPr="00A16FA9">
              <w:rPr>
                <w:rFonts w:ascii="Times New Roman" w:hAnsi="Times New Roman" w:cs="Times New Roman"/>
                <w:color w:val="000000"/>
                <w:sz w:val="20"/>
                <w:szCs w:val="24"/>
              </w:rPr>
              <w:t>79 177 177</w:t>
            </w:r>
          </w:p>
        </w:tc>
      </w:tr>
      <w:tr w:rsidR="00950BDF" w:rsidRPr="00A16FA9" w:rsidTr="002A0227">
        <w:trPr>
          <w:jc w:val="center"/>
        </w:trPr>
        <w:tc>
          <w:tcPr>
            <w:tcW w:w="0" w:type="auto"/>
            <w:tcBorders>
              <w:top w:val="nil"/>
              <w:left w:val="single" w:sz="12" w:space="0" w:color="auto"/>
              <w:bottom w:val="single" w:sz="12" w:space="0" w:color="auto"/>
              <w:right w:val="single" w:sz="12" w:space="0" w:color="auto"/>
            </w:tcBorders>
            <w:shd w:val="clear" w:color="000000" w:fill="FFFFFF"/>
            <w:vAlign w:val="center"/>
            <w:hideMark/>
          </w:tcPr>
          <w:p w:rsidR="00950BDF" w:rsidRPr="00A16FA9" w:rsidRDefault="00950BDF" w:rsidP="00E44C19">
            <w:pPr>
              <w:spacing w:after="0" w:line="240" w:lineRule="auto"/>
              <w:ind w:left="226"/>
              <w:rPr>
                <w:rFonts w:ascii="Times New Roman" w:eastAsia="Times New Roman" w:hAnsi="Times New Roman" w:cs="Times New Roman"/>
                <w:color w:val="000000"/>
                <w:sz w:val="20"/>
                <w:szCs w:val="24"/>
              </w:rPr>
            </w:pPr>
            <w:r w:rsidRPr="00A16FA9">
              <w:rPr>
                <w:rFonts w:ascii="Times New Roman" w:eastAsia="Times New Roman" w:hAnsi="Times New Roman" w:cs="Times New Roman"/>
                <w:color w:val="000000"/>
                <w:sz w:val="20"/>
                <w:szCs w:val="24"/>
              </w:rPr>
              <w:t xml:space="preserve">Среднопретеглена регионална цена само за България, Гърция, Румъния и Унгария и частично за Сърбия и Турция </w:t>
            </w:r>
            <w:r w:rsidR="00A16FA9">
              <w:rPr>
                <w:rFonts w:ascii="Times New Roman" w:eastAsia="Times New Roman" w:hAnsi="Times New Roman" w:cs="Times New Roman"/>
                <w:color w:val="000000"/>
                <w:sz w:val="20"/>
                <w:szCs w:val="24"/>
              </w:rPr>
              <w:t>–</w:t>
            </w:r>
            <w:r w:rsidRPr="00A16FA9">
              <w:rPr>
                <w:rFonts w:ascii="Times New Roman" w:eastAsia="Times New Roman" w:hAnsi="Times New Roman" w:cs="Times New Roman"/>
                <w:color w:val="000000"/>
                <w:sz w:val="20"/>
                <w:szCs w:val="24"/>
              </w:rPr>
              <w:t xml:space="preserve"> Сценарий 6</w:t>
            </w:r>
          </w:p>
        </w:tc>
        <w:tc>
          <w:tcPr>
            <w:tcW w:w="0" w:type="auto"/>
            <w:tcBorders>
              <w:top w:val="nil"/>
              <w:left w:val="single" w:sz="12" w:space="0" w:color="auto"/>
              <w:bottom w:val="single" w:sz="12" w:space="0" w:color="auto"/>
              <w:right w:val="single" w:sz="12" w:space="0" w:color="auto"/>
            </w:tcBorders>
            <w:shd w:val="clear" w:color="auto" w:fill="auto"/>
            <w:vAlign w:val="center"/>
            <w:hideMark/>
          </w:tcPr>
          <w:p w:rsidR="00950BDF" w:rsidRPr="00A16FA9" w:rsidRDefault="00950BDF" w:rsidP="00A16FA9">
            <w:pPr>
              <w:spacing w:after="0" w:line="240" w:lineRule="auto"/>
              <w:jc w:val="center"/>
              <w:rPr>
                <w:rFonts w:ascii="Times New Roman" w:hAnsi="Times New Roman" w:cs="Times New Roman"/>
                <w:color w:val="000000"/>
                <w:sz w:val="20"/>
                <w:szCs w:val="24"/>
              </w:rPr>
            </w:pPr>
            <w:r w:rsidRPr="00A16FA9">
              <w:rPr>
                <w:rFonts w:ascii="Times New Roman" w:hAnsi="Times New Roman" w:cs="Times New Roman"/>
                <w:color w:val="000000"/>
                <w:sz w:val="20"/>
                <w:szCs w:val="24"/>
              </w:rPr>
              <w:t>85 039 857</w:t>
            </w:r>
          </w:p>
        </w:tc>
      </w:tr>
    </w:tbl>
    <w:p w:rsidR="00950BDF" w:rsidRDefault="00950BDF" w:rsidP="00E44C19">
      <w:pPr>
        <w:spacing w:before="120" w:after="120" w:line="240" w:lineRule="auto"/>
        <w:jc w:val="center"/>
        <w:rPr>
          <w:rFonts w:ascii="Times New Roman" w:hAnsi="Times New Roman" w:cs="Times New Roman"/>
          <w:sz w:val="20"/>
          <w:szCs w:val="24"/>
        </w:rPr>
      </w:pPr>
      <w:r w:rsidRPr="00CA6AE8">
        <w:rPr>
          <w:rFonts w:ascii="Times New Roman" w:hAnsi="Times New Roman" w:cs="Times New Roman"/>
          <w:sz w:val="20"/>
          <w:szCs w:val="24"/>
        </w:rPr>
        <w:t xml:space="preserve">Източник: Съставена от авторите на основа на резултати от Дейност </w:t>
      </w:r>
      <w:r w:rsidR="00F71484">
        <w:rPr>
          <w:rFonts w:ascii="Times New Roman" w:hAnsi="Times New Roman" w:cs="Times New Roman"/>
          <w:sz w:val="20"/>
          <w:szCs w:val="24"/>
          <w:lang w:val="en-US"/>
        </w:rPr>
        <w:t>III</w:t>
      </w:r>
      <w:r w:rsidRPr="00CA6AE8">
        <w:rPr>
          <w:rFonts w:ascii="Times New Roman" w:hAnsi="Times New Roman" w:cs="Times New Roman"/>
          <w:sz w:val="20"/>
          <w:szCs w:val="24"/>
        </w:rPr>
        <w:t>.</w:t>
      </w:r>
    </w:p>
    <w:p w:rsidR="00CB6CCC" w:rsidRPr="00CA6AE8" w:rsidRDefault="00CB6CCC" w:rsidP="00E44C19">
      <w:pPr>
        <w:spacing w:before="120" w:after="120" w:line="240" w:lineRule="auto"/>
        <w:jc w:val="center"/>
        <w:rPr>
          <w:rFonts w:ascii="Times New Roman" w:hAnsi="Times New Roman" w:cs="Times New Roman"/>
          <w:sz w:val="20"/>
          <w:szCs w:val="24"/>
        </w:rPr>
      </w:pPr>
    </w:p>
    <w:p w:rsidR="00950BDF" w:rsidRPr="00F71484" w:rsidRDefault="00950BDF" w:rsidP="00E44C19">
      <w:pPr>
        <w:pStyle w:val="Heading4"/>
        <w:spacing w:before="120" w:after="120" w:line="240" w:lineRule="auto"/>
        <w:rPr>
          <w:rFonts w:ascii="Times New Roman" w:hAnsi="Times New Roman" w:cs="Times New Roman"/>
          <w:b w:val="0"/>
          <w:color w:val="auto"/>
          <w:sz w:val="24"/>
          <w:szCs w:val="24"/>
        </w:rPr>
      </w:pPr>
      <w:r w:rsidRPr="00F71484">
        <w:rPr>
          <w:rFonts w:ascii="Times New Roman" w:hAnsi="Times New Roman" w:cs="Times New Roman"/>
          <w:b w:val="0"/>
          <w:color w:val="auto"/>
          <w:sz w:val="24"/>
          <w:szCs w:val="24"/>
        </w:rPr>
        <w:t xml:space="preserve">Сценарии на финансиране </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Разработените 6 сценария по отношение на микса дълг/собствен капитал, частен инвеститор и българска държава, както и погасителните плащания по време на строителството и на експлоатацията са дадени в</w:t>
      </w:r>
      <w:r w:rsidR="002C6255">
        <w:rPr>
          <w:rFonts w:ascii="Times New Roman" w:hAnsi="Times New Roman" w:cs="Times New Roman"/>
          <w:sz w:val="24"/>
          <w:szCs w:val="24"/>
        </w:rPr>
        <w:t xml:space="preserve"> табл. </w:t>
      </w:r>
      <w:r w:rsidR="002C6255" w:rsidRPr="00E44C19">
        <w:rPr>
          <w:rFonts w:ascii="Times New Roman" w:hAnsi="Times New Roman" w:cs="Times New Roman"/>
          <w:sz w:val="24"/>
          <w:szCs w:val="24"/>
          <w:lang w:val="en-US"/>
        </w:rPr>
        <w:t>V.</w:t>
      </w:r>
      <w:r w:rsidR="002C6255">
        <w:rPr>
          <w:rFonts w:ascii="Times New Roman" w:hAnsi="Times New Roman" w:cs="Times New Roman"/>
          <w:sz w:val="24"/>
          <w:szCs w:val="24"/>
        </w:rPr>
        <w:t>1</w:t>
      </w:r>
      <w:r w:rsidR="00FB17F2">
        <w:rPr>
          <w:rFonts w:ascii="Times New Roman" w:hAnsi="Times New Roman" w:cs="Times New Roman"/>
          <w:sz w:val="24"/>
          <w:szCs w:val="24"/>
        </w:rPr>
        <w:t>6</w:t>
      </w:r>
      <w:r w:rsidRPr="00950BDF">
        <w:rPr>
          <w:rFonts w:ascii="Times New Roman" w:hAnsi="Times New Roman" w:cs="Times New Roman"/>
          <w:sz w:val="24"/>
          <w:szCs w:val="24"/>
        </w:rPr>
        <w:t>.</w:t>
      </w:r>
    </w:p>
    <w:p w:rsidR="00950BDF" w:rsidRPr="00FB17F2" w:rsidRDefault="00FB17F2" w:rsidP="00AB0E25">
      <w:pPr>
        <w:pStyle w:val="Caption"/>
        <w:keepNext/>
        <w:rPr>
          <w:rFonts w:ascii="Times New Roman" w:hAnsi="Times New Roman"/>
          <w:szCs w:val="24"/>
        </w:rPr>
      </w:pPr>
      <w:bookmarkStart w:id="158" w:name="_Toc491990986"/>
      <w:bookmarkStart w:id="159" w:name="_Toc491994421"/>
      <w:bookmarkStart w:id="160" w:name="_Toc493240912"/>
      <w:r w:rsidRPr="00FB17F2">
        <w:rPr>
          <w:rFonts w:hint="eastAsia"/>
        </w:rPr>
        <w:t>Таблица</w:t>
      </w:r>
      <w:r w:rsidRPr="00FB17F2">
        <w:t xml:space="preserve"> V.</w:t>
      </w:r>
      <w:r w:rsidR="0097530B">
        <w:fldChar w:fldCharType="begin"/>
      </w:r>
      <w:r w:rsidR="00042F89">
        <w:instrText xml:space="preserve"> SEQ Таблица_V. \* ARABIC </w:instrText>
      </w:r>
      <w:r w:rsidR="0097530B">
        <w:fldChar w:fldCharType="separate"/>
      </w:r>
      <w:r w:rsidR="00F44EBF">
        <w:rPr>
          <w:noProof/>
        </w:rPr>
        <w:t>16</w:t>
      </w:r>
      <w:r w:rsidR="0097530B">
        <w:rPr>
          <w:noProof/>
        </w:rPr>
        <w:fldChar w:fldCharType="end"/>
      </w:r>
      <w:r w:rsidRPr="00FB17F2">
        <w:rPr>
          <w:rFonts w:asciiTheme="minorHAnsi" w:hAnsiTheme="minorHAnsi"/>
        </w:rPr>
        <w:t xml:space="preserve">. </w:t>
      </w:r>
      <w:r w:rsidR="00950BDF" w:rsidRPr="00FB17F2">
        <w:rPr>
          <w:rFonts w:ascii="Times New Roman" w:hAnsi="Times New Roman"/>
          <w:szCs w:val="24"/>
        </w:rPr>
        <w:t>Сценарии за финансиране на проекта</w:t>
      </w:r>
      <w:bookmarkEnd w:id="158"/>
      <w:bookmarkEnd w:id="159"/>
      <w:bookmarkEnd w:id="16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61"/>
        <w:gridCol w:w="843"/>
        <w:gridCol w:w="964"/>
        <w:gridCol w:w="964"/>
        <w:gridCol w:w="964"/>
        <w:gridCol w:w="964"/>
        <w:gridCol w:w="964"/>
        <w:gridCol w:w="964"/>
      </w:tblGrid>
      <w:tr w:rsidR="00950BDF" w:rsidRPr="00CA6AE8" w:rsidTr="00A16FA9">
        <w:trPr>
          <w:tblHeader/>
          <w:jc w:val="center"/>
        </w:trPr>
        <w:tc>
          <w:tcPr>
            <w:tcW w:w="0" w:type="auto"/>
            <w:tcBorders>
              <w:top w:val="single" w:sz="12" w:space="0" w:color="auto"/>
              <w:bottom w:val="single" w:sz="12" w:space="0" w:color="auto"/>
              <w:right w:val="single" w:sz="12" w:space="0" w:color="auto"/>
            </w:tcBorders>
            <w:shd w:val="clear" w:color="auto" w:fill="D9D9D9"/>
            <w:vAlign w:val="center"/>
          </w:tcPr>
          <w:p w:rsidR="00950BDF" w:rsidRPr="00CA6AE8" w:rsidRDefault="00950BDF" w:rsidP="00A16FA9">
            <w:pPr>
              <w:spacing w:after="0" w:line="240" w:lineRule="auto"/>
              <w:ind w:left="-57" w:right="-57"/>
              <w:rPr>
                <w:rFonts w:ascii="Times New Roman" w:hAnsi="Times New Roman" w:cs="Times New Roman"/>
                <w:b/>
                <w:sz w:val="20"/>
                <w:szCs w:val="20"/>
              </w:rPr>
            </w:pPr>
          </w:p>
        </w:tc>
        <w:tc>
          <w:tcPr>
            <w:tcW w:w="0" w:type="auto"/>
            <w:tcBorders>
              <w:left w:val="single" w:sz="12" w:space="0" w:color="auto"/>
              <w:bottom w:val="single" w:sz="12" w:space="0" w:color="auto"/>
            </w:tcBorders>
            <w:shd w:val="clear" w:color="auto" w:fill="D9D9D9"/>
            <w:vAlign w:val="center"/>
          </w:tcPr>
          <w:p w:rsidR="00950BDF" w:rsidRPr="00CA6AE8" w:rsidRDefault="00950BDF" w:rsidP="00A16FA9">
            <w:pPr>
              <w:spacing w:after="0" w:line="240" w:lineRule="auto"/>
              <w:ind w:left="-57" w:right="-57"/>
              <w:jc w:val="center"/>
              <w:rPr>
                <w:rFonts w:ascii="Times New Roman" w:hAnsi="Times New Roman" w:cs="Times New Roman"/>
                <w:b/>
                <w:sz w:val="20"/>
                <w:szCs w:val="20"/>
              </w:rPr>
            </w:pPr>
            <w:r w:rsidRPr="00CA6AE8">
              <w:rPr>
                <w:rFonts w:ascii="Times New Roman" w:hAnsi="Times New Roman" w:cs="Times New Roman"/>
                <w:b/>
                <w:sz w:val="20"/>
                <w:szCs w:val="20"/>
              </w:rPr>
              <w:t>Мярка</w:t>
            </w:r>
          </w:p>
        </w:tc>
        <w:tc>
          <w:tcPr>
            <w:tcW w:w="0" w:type="auto"/>
            <w:tcBorders>
              <w:bottom w:val="single" w:sz="12" w:space="0" w:color="auto"/>
            </w:tcBorders>
            <w:shd w:val="clear" w:color="auto" w:fill="D9D9D9"/>
            <w:vAlign w:val="center"/>
          </w:tcPr>
          <w:p w:rsidR="00950BDF" w:rsidRPr="00CA6AE8" w:rsidRDefault="00950BDF" w:rsidP="00A16FA9">
            <w:pPr>
              <w:spacing w:after="0" w:line="240" w:lineRule="auto"/>
              <w:ind w:left="-57" w:right="-57"/>
              <w:jc w:val="center"/>
              <w:rPr>
                <w:rFonts w:ascii="Times New Roman" w:hAnsi="Times New Roman" w:cs="Times New Roman"/>
                <w:b/>
                <w:sz w:val="20"/>
                <w:szCs w:val="20"/>
              </w:rPr>
            </w:pPr>
            <w:r w:rsidRPr="00CA6AE8">
              <w:rPr>
                <w:rFonts w:ascii="Times New Roman" w:hAnsi="Times New Roman" w:cs="Times New Roman"/>
                <w:b/>
                <w:sz w:val="20"/>
                <w:szCs w:val="20"/>
              </w:rPr>
              <w:t>Вариант 1</w:t>
            </w:r>
          </w:p>
        </w:tc>
        <w:tc>
          <w:tcPr>
            <w:tcW w:w="0" w:type="auto"/>
            <w:tcBorders>
              <w:bottom w:val="single" w:sz="12" w:space="0" w:color="auto"/>
            </w:tcBorders>
            <w:shd w:val="clear" w:color="auto" w:fill="D9D9D9"/>
            <w:vAlign w:val="center"/>
          </w:tcPr>
          <w:p w:rsidR="00950BDF" w:rsidRPr="00CA6AE8" w:rsidRDefault="00950BDF" w:rsidP="00A16FA9">
            <w:pPr>
              <w:spacing w:after="0" w:line="240" w:lineRule="auto"/>
              <w:ind w:left="-57" w:right="-57"/>
              <w:jc w:val="center"/>
              <w:rPr>
                <w:rFonts w:ascii="Times New Roman" w:hAnsi="Times New Roman" w:cs="Times New Roman"/>
                <w:b/>
                <w:sz w:val="20"/>
                <w:szCs w:val="20"/>
              </w:rPr>
            </w:pPr>
            <w:r w:rsidRPr="00CA6AE8">
              <w:rPr>
                <w:rFonts w:ascii="Times New Roman" w:hAnsi="Times New Roman" w:cs="Times New Roman"/>
                <w:b/>
                <w:sz w:val="20"/>
                <w:szCs w:val="20"/>
              </w:rPr>
              <w:t>Вариант 2</w:t>
            </w:r>
          </w:p>
        </w:tc>
        <w:tc>
          <w:tcPr>
            <w:tcW w:w="0" w:type="auto"/>
            <w:tcBorders>
              <w:bottom w:val="single" w:sz="12" w:space="0" w:color="auto"/>
            </w:tcBorders>
            <w:shd w:val="clear" w:color="auto" w:fill="D9D9D9"/>
            <w:vAlign w:val="center"/>
          </w:tcPr>
          <w:p w:rsidR="00950BDF" w:rsidRPr="00CA6AE8" w:rsidRDefault="00950BDF" w:rsidP="00A16FA9">
            <w:pPr>
              <w:spacing w:after="0" w:line="240" w:lineRule="auto"/>
              <w:ind w:left="-57" w:right="-57"/>
              <w:jc w:val="center"/>
              <w:rPr>
                <w:rFonts w:ascii="Times New Roman" w:hAnsi="Times New Roman" w:cs="Times New Roman"/>
                <w:b/>
                <w:sz w:val="20"/>
                <w:szCs w:val="20"/>
              </w:rPr>
            </w:pPr>
            <w:r w:rsidRPr="00CA6AE8">
              <w:rPr>
                <w:rFonts w:ascii="Times New Roman" w:hAnsi="Times New Roman" w:cs="Times New Roman"/>
                <w:b/>
                <w:sz w:val="20"/>
                <w:szCs w:val="20"/>
              </w:rPr>
              <w:t>Вариант 3</w:t>
            </w:r>
          </w:p>
        </w:tc>
        <w:tc>
          <w:tcPr>
            <w:tcW w:w="0" w:type="auto"/>
            <w:tcBorders>
              <w:bottom w:val="single" w:sz="12" w:space="0" w:color="auto"/>
            </w:tcBorders>
            <w:shd w:val="clear" w:color="auto" w:fill="D9D9D9"/>
            <w:vAlign w:val="center"/>
          </w:tcPr>
          <w:p w:rsidR="00950BDF" w:rsidRPr="00CA6AE8" w:rsidRDefault="00950BDF" w:rsidP="00A16FA9">
            <w:pPr>
              <w:spacing w:after="0" w:line="240" w:lineRule="auto"/>
              <w:ind w:left="-57" w:right="-57"/>
              <w:jc w:val="center"/>
              <w:rPr>
                <w:rFonts w:ascii="Times New Roman" w:hAnsi="Times New Roman" w:cs="Times New Roman"/>
                <w:b/>
                <w:sz w:val="20"/>
                <w:szCs w:val="20"/>
              </w:rPr>
            </w:pPr>
            <w:r w:rsidRPr="00CA6AE8">
              <w:rPr>
                <w:rFonts w:ascii="Times New Roman" w:hAnsi="Times New Roman" w:cs="Times New Roman"/>
                <w:b/>
                <w:sz w:val="20"/>
                <w:szCs w:val="20"/>
              </w:rPr>
              <w:t>Вариант 4</w:t>
            </w:r>
          </w:p>
        </w:tc>
        <w:tc>
          <w:tcPr>
            <w:tcW w:w="0" w:type="auto"/>
            <w:tcBorders>
              <w:bottom w:val="single" w:sz="12" w:space="0" w:color="auto"/>
            </w:tcBorders>
            <w:shd w:val="clear" w:color="auto" w:fill="D9D9D9"/>
            <w:vAlign w:val="center"/>
          </w:tcPr>
          <w:p w:rsidR="00950BDF" w:rsidRPr="00CA6AE8" w:rsidRDefault="00950BDF" w:rsidP="00A16FA9">
            <w:pPr>
              <w:spacing w:after="0" w:line="240" w:lineRule="auto"/>
              <w:ind w:left="-57" w:right="-57"/>
              <w:jc w:val="center"/>
              <w:rPr>
                <w:rFonts w:ascii="Times New Roman" w:hAnsi="Times New Roman" w:cs="Times New Roman"/>
                <w:b/>
                <w:sz w:val="20"/>
                <w:szCs w:val="20"/>
              </w:rPr>
            </w:pPr>
            <w:r w:rsidRPr="00CA6AE8">
              <w:rPr>
                <w:rFonts w:ascii="Times New Roman" w:hAnsi="Times New Roman" w:cs="Times New Roman"/>
                <w:b/>
                <w:sz w:val="20"/>
                <w:szCs w:val="20"/>
              </w:rPr>
              <w:t>Вариант 5</w:t>
            </w:r>
          </w:p>
        </w:tc>
        <w:tc>
          <w:tcPr>
            <w:tcW w:w="0" w:type="auto"/>
            <w:tcBorders>
              <w:bottom w:val="single" w:sz="12" w:space="0" w:color="auto"/>
            </w:tcBorders>
            <w:shd w:val="clear" w:color="auto" w:fill="D9D9D9"/>
            <w:vAlign w:val="center"/>
          </w:tcPr>
          <w:p w:rsidR="00950BDF" w:rsidRPr="00CA6AE8" w:rsidRDefault="00950BDF" w:rsidP="00A16FA9">
            <w:pPr>
              <w:spacing w:after="0" w:line="240" w:lineRule="auto"/>
              <w:ind w:left="-57" w:right="-57"/>
              <w:jc w:val="center"/>
              <w:rPr>
                <w:rFonts w:ascii="Times New Roman" w:hAnsi="Times New Roman" w:cs="Times New Roman"/>
                <w:b/>
                <w:sz w:val="20"/>
                <w:szCs w:val="20"/>
              </w:rPr>
            </w:pPr>
            <w:r w:rsidRPr="00CA6AE8">
              <w:rPr>
                <w:rFonts w:ascii="Times New Roman" w:hAnsi="Times New Roman" w:cs="Times New Roman"/>
                <w:b/>
                <w:sz w:val="20"/>
                <w:szCs w:val="20"/>
              </w:rPr>
              <w:t>Вариант 6</w:t>
            </w:r>
          </w:p>
        </w:tc>
      </w:tr>
      <w:tr w:rsidR="00950BDF" w:rsidRPr="00CA6AE8" w:rsidTr="00A16FA9">
        <w:trPr>
          <w:jc w:val="center"/>
        </w:trPr>
        <w:tc>
          <w:tcPr>
            <w:tcW w:w="0" w:type="auto"/>
            <w:tcBorders>
              <w:top w:val="single" w:sz="12" w:space="0" w:color="auto"/>
              <w:bottom w:val="single" w:sz="4" w:space="0" w:color="auto"/>
              <w:right w:val="single" w:sz="12" w:space="0" w:color="auto"/>
            </w:tcBorders>
            <w:shd w:val="clear" w:color="auto" w:fill="auto"/>
            <w:vAlign w:val="center"/>
          </w:tcPr>
          <w:p w:rsidR="00950BDF" w:rsidRPr="00CA6AE8" w:rsidRDefault="00950BDF" w:rsidP="00A16FA9">
            <w:pPr>
              <w:spacing w:after="0" w:line="240" w:lineRule="auto"/>
              <w:ind w:left="-57" w:right="-57"/>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Капиталови разходи</w:t>
            </w:r>
            <w:r w:rsidR="00A16FA9">
              <w:rPr>
                <w:rFonts w:ascii="Times New Roman" w:eastAsia="Times New Roman" w:hAnsi="Times New Roman" w:cs="Times New Roman"/>
                <w:color w:val="000000"/>
                <w:sz w:val="20"/>
                <w:szCs w:val="20"/>
              </w:rPr>
              <w:t xml:space="preserve"> – </w:t>
            </w:r>
            <w:r w:rsidRPr="00CA6AE8">
              <w:rPr>
                <w:rFonts w:ascii="Times New Roman" w:eastAsia="Times New Roman" w:hAnsi="Times New Roman" w:cs="Times New Roman"/>
                <w:color w:val="000000"/>
                <w:sz w:val="20"/>
                <w:szCs w:val="20"/>
              </w:rPr>
              <w:t>общо</w:t>
            </w:r>
          </w:p>
        </w:tc>
        <w:tc>
          <w:tcPr>
            <w:tcW w:w="0" w:type="auto"/>
            <w:tcBorders>
              <w:top w:val="single" w:sz="12" w:space="0" w:color="auto"/>
              <w:left w:val="single" w:sz="12" w:space="0" w:color="auto"/>
              <w:bottom w:val="single" w:sz="4" w:space="0" w:color="auto"/>
            </w:tcBorders>
            <w:shd w:val="clear" w:color="auto" w:fill="auto"/>
            <w:vAlign w:val="center"/>
          </w:tcPr>
          <w:p w:rsidR="00950BDF" w:rsidRPr="00CA6AE8" w:rsidRDefault="00950BDF" w:rsidP="00A16FA9">
            <w:pPr>
              <w:spacing w:after="0" w:line="240" w:lineRule="auto"/>
              <w:ind w:left="-57" w:right="-57"/>
              <w:jc w:val="center"/>
              <w:rPr>
                <w:rFonts w:ascii="Times New Roman" w:hAnsi="Times New Roman" w:cs="Times New Roman"/>
                <w:color w:val="000000"/>
                <w:sz w:val="20"/>
                <w:szCs w:val="20"/>
              </w:rPr>
            </w:pPr>
            <w:r w:rsidRPr="00CA6AE8">
              <w:rPr>
                <w:rFonts w:ascii="Times New Roman" w:hAnsi="Times New Roman" w:cs="Times New Roman"/>
                <w:color w:val="000000"/>
                <w:sz w:val="20"/>
                <w:szCs w:val="20"/>
              </w:rPr>
              <w:t>хил.евро</w:t>
            </w:r>
          </w:p>
        </w:tc>
        <w:tc>
          <w:tcPr>
            <w:tcW w:w="0" w:type="auto"/>
            <w:tcBorders>
              <w:top w:val="single" w:sz="12" w:space="0" w:color="auto"/>
              <w:bottom w:val="single" w:sz="4" w:space="0" w:color="auto"/>
            </w:tcBorders>
            <w:shd w:val="clear" w:color="auto" w:fill="auto"/>
            <w:vAlign w:val="center"/>
          </w:tcPr>
          <w:p w:rsidR="00950BDF" w:rsidRPr="00CA6AE8" w:rsidRDefault="00A16FA9" w:rsidP="00A16FA9">
            <w:pPr>
              <w:spacing w:after="0" w:line="240" w:lineRule="auto"/>
              <w:ind w:left="-57" w:right="-57"/>
              <w:jc w:val="right"/>
              <w:rPr>
                <w:rFonts w:ascii="Times New Roman" w:hAnsi="Times New Roman" w:cs="Times New Roman"/>
                <w:color w:val="000000"/>
                <w:sz w:val="20"/>
                <w:szCs w:val="20"/>
              </w:rPr>
            </w:pPr>
            <w:r>
              <w:rPr>
                <w:rFonts w:ascii="Times New Roman" w:hAnsi="Times New Roman" w:cs="Times New Roman"/>
                <w:color w:val="000000"/>
                <w:sz w:val="20"/>
                <w:szCs w:val="20"/>
              </w:rPr>
              <w:t>10527</w:t>
            </w:r>
            <w:r w:rsidR="00950BDF" w:rsidRPr="00CA6AE8">
              <w:rPr>
                <w:rFonts w:ascii="Times New Roman" w:hAnsi="Times New Roman" w:cs="Times New Roman"/>
                <w:color w:val="000000"/>
                <w:sz w:val="20"/>
                <w:szCs w:val="20"/>
              </w:rPr>
              <w:t>642</w:t>
            </w:r>
          </w:p>
        </w:tc>
        <w:tc>
          <w:tcPr>
            <w:tcW w:w="0" w:type="auto"/>
            <w:tcBorders>
              <w:top w:val="single" w:sz="12" w:space="0" w:color="auto"/>
              <w:bottom w:val="single" w:sz="4" w:space="0" w:color="auto"/>
            </w:tcBorders>
            <w:shd w:val="clear" w:color="auto" w:fill="auto"/>
            <w:vAlign w:val="center"/>
          </w:tcPr>
          <w:p w:rsidR="00950BDF" w:rsidRPr="00CA6AE8" w:rsidRDefault="00A16FA9" w:rsidP="00A16FA9">
            <w:pPr>
              <w:spacing w:after="0" w:line="240" w:lineRule="auto"/>
              <w:ind w:left="-57" w:right="-57"/>
              <w:jc w:val="right"/>
              <w:rPr>
                <w:rFonts w:ascii="Times New Roman" w:hAnsi="Times New Roman" w:cs="Times New Roman"/>
                <w:color w:val="000000"/>
                <w:sz w:val="20"/>
                <w:szCs w:val="20"/>
              </w:rPr>
            </w:pPr>
            <w:r>
              <w:rPr>
                <w:rFonts w:ascii="Times New Roman" w:hAnsi="Times New Roman" w:cs="Times New Roman"/>
                <w:color w:val="000000"/>
                <w:sz w:val="20"/>
                <w:szCs w:val="20"/>
              </w:rPr>
              <w:t>10527</w:t>
            </w:r>
            <w:r w:rsidR="00950BDF" w:rsidRPr="00CA6AE8">
              <w:rPr>
                <w:rFonts w:ascii="Times New Roman" w:hAnsi="Times New Roman" w:cs="Times New Roman"/>
                <w:color w:val="000000"/>
                <w:sz w:val="20"/>
                <w:szCs w:val="20"/>
              </w:rPr>
              <w:t>642</w:t>
            </w:r>
          </w:p>
        </w:tc>
        <w:tc>
          <w:tcPr>
            <w:tcW w:w="0" w:type="auto"/>
            <w:tcBorders>
              <w:top w:val="single" w:sz="12" w:space="0" w:color="auto"/>
              <w:bottom w:val="single" w:sz="4" w:space="0" w:color="auto"/>
            </w:tcBorders>
            <w:shd w:val="clear" w:color="auto" w:fill="auto"/>
            <w:vAlign w:val="center"/>
          </w:tcPr>
          <w:p w:rsidR="00950BDF" w:rsidRPr="00CA6AE8" w:rsidRDefault="00A16FA9" w:rsidP="00A16FA9">
            <w:pPr>
              <w:spacing w:after="0" w:line="240" w:lineRule="auto"/>
              <w:ind w:left="-57" w:right="-57"/>
              <w:jc w:val="right"/>
              <w:rPr>
                <w:rFonts w:ascii="Times New Roman" w:hAnsi="Times New Roman" w:cs="Times New Roman"/>
                <w:color w:val="000000"/>
                <w:sz w:val="20"/>
                <w:szCs w:val="20"/>
              </w:rPr>
            </w:pPr>
            <w:r>
              <w:rPr>
                <w:rFonts w:ascii="Times New Roman" w:hAnsi="Times New Roman" w:cs="Times New Roman"/>
                <w:color w:val="000000"/>
                <w:sz w:val="20"/>
                <w:szCs w:val="20"/>
              </w:rPr>
              <w:t>10527</w:t>
            </w:r>
            <w:r w:rsidR="00950BDF" w:rsidRPr="00CA6AE8">
              <w:rPr>
                <w:rFonts w:ascii="Times New Roman" w:hAnsi="Times New Roman" w:cs="Times New Roman"/>
                <w:color w:val="000000"/>
                <w:sz w:val="20"/>
                <w:szCs w:val="20"/>
              </w:rPr>
              <w:t>642</w:t>
            </w:r>
          </w:p>
        </w:tc>
        <w:tc>
          <w:tcPr>
            <w:tcW w:w="0" w:type="auto"/>
            <w:tcBorders>
              <w:top w:val="single" w:sz="12" w:space="0" w:color="auto"/>
              <w:bottom w:val="single" w:sz="4" w:space="0" w:color="auto"/>
            </w:tcBorders>
            <w:shd w:val="clear" w:color="auto" w:fill="auto"/>
            <w:vAlign w:val="center"/>
          </w:tcPr>
          <w:p w:rsidR="00950BDF" w:rsidRPr="00CA6AE8" w:rsidRDefault="00A16FA9" w:rsidP="00A16FA9">
            <w:pPr>
              <w:spacing w:after="0" w:line="240" w:lineRule="auto"/>
              <w:ind w:left="-57" w:right="-57"/>
              <w:jc w:val="right"/>
              <w:rPr>
                <w:rFonts w:ascii="Times New Roman" w:hAnsi="Times New Roman" w:cs="Times New Roman"/>
                <w:color w:val="000000"/>
                <w:sz w:val="20"/>
                <w:szCs w:val="20"/>
              </w:rPr>
            </w:pPr>
            <w:r>
              <w:rPr>
                <w:rFonts w:ascii="Times New Roman" w:hAnsi="Times New Roman" w:cs="Times New Roman"/>
                <w:color w:val="000000"/>
                <w:sz w:val="20"/>
                <w:szCs w:val="20"/>
              </w:rPr>
              <w:t>10</w:t>
            </w:r>
            <w:r w:rsidR="00950BDF" w:rsidRPr="00CA6AE8">
              <w:rPr>
                <w:rFonts w:ascii="Times New Roman" w:hAnsi="Times New Roman" w:cs="Times New Roman"/>
                <w:color w:val="000000"/>
                <w:sz w:val="20"/>
                <w:szCs w:val="20"/>
              </w:rPr>
              <w:t>5</w:t>
            </w:r>
            <w:r>
              <w:rPr>
                <w:rFonts w:ascii="Times New Roman" w:hAnsi="Times New Roman" w:cs="Times New Roman"/>
                <w:color w:val="000000"/>
                <w:sz w:val="20"/>
                <w:szCs w:val="20"/>
              </w:rPr>
              <w:t>27</w:t>
            </w:r>
            <w:r w:rsidR="00950BDF" w:rsidRPr="00CA6AE8">
              <w:rPr>
                <w:rFonts w:ascii="Times New Roman" w:hAnsi="Times New Roman" w:cs="Times New Roman"/>
                <w:color w:val="000000"/>
                <w:sz w:val="20"/>
                <w:szCs w:val="20"/>
              </w:rPr>
              <w:t>642</w:t>
            </w:r>
          </w:p>
        </w:tc>
        <w:tc>
          <w:tcPr>
            <w:tcW w:w="0" w:type="auto"/>
            <w:tcBorders>
              <w:top w:val="single" w:sz="12" w:space="0" w:color="auto"/>
              <w:bottom w:val="single" w:sz="4" w:space="0" w:color="auto"/>
            </w:tcBorders>
            <w:shd w:val="clear" w:color="auto" w:fill="auto"/>
            <w:vAlign w:val="center"/>
          </w:tcPr>
          <w:p w:rsidR="00950BDF" w:rsidRPr="00CA6AE8" w:rsidRDefault="00A16FA9" w:rsidP="00A16FA9">
            <w:pPr>
              <w:spacing w:after="0" w:line="240" w:lineRule="auto"/>
              <w:ind w:left="-57" w:right="-57"/>
              <w:jc w:val="right"/>
              <w:rPr>
                <w:rFonts w:ascii="Times New Roman" w:hAnsi="Times New Roman" w:cs="Times New Roman"/>
                <w:color w:val="000000"/>
                <w:sz w:val="20"/>
                <w:szCs w:val="20"/>
              </w:rPr>
            </w:pPr>
            <w:r>
              <w:rPr>
                <w:rFonts w:ascii="Times New Roman" w:hAnsi="Times New Roman" w:cs="Times New Roman"/>
                <w:color w:val="000000"/>
                <w:sz w:val="20"/>
                <w:szCs w:val="20"/>
              </w:rPr>
              <w:t>10527</w:t>
            </w:r>
            <w:r w:rsidR="00950BDF" w:rsidRPr="00CA6AE8">
              <w:rPr>
                <w:rFonts w:ascii="Times New Roman" w:hAnsi="Times New Roman" w:cs="Times New Roman"/>
                <w:color w:val="000000"/>
                <w:sz w:val="20"/>
                <w:szCs w:val="20"/>
              </w:rPr>
              <w:t>642</w:t>
            </w:r>
          </w:p>
        </w:tc>
        <w:tc>
          <w:tcPr>
            <w:tcW w:w="0" w:type="auto"/>
            <w:tcBorders>
              <w:top w:val="single" w:sz="12" w:space="0" w:color="auto"/>
              <w:bottom w:val="single" w:sz="4" w:space="0" w:color="auto"/>
            </w:tcBorders>
            <w:shd w:val="clear" w:color="auto" w:fill="auto"/>
            <w:vAlign w:val="center"/>
          </w:tcPr>
          <w:p w:rsidR="00950BDF" w:rsidRPr="00CA6AE8" w:rsidRDefault="00A16FA9" w:rsidP="00A16FA9">
            <w:pPr>
              <w:spacing w:after="0" w:line="240" w:lineRule="auto"/>
              <w:ind w:left="-57" w:right="-57"/>
              <w:jc w:val="right"/>
              <w:rPr>
                <w:rFonts w:ascii="Times New Roman" w:hAnsi="Times New Roman" w:cs="Times New Roman"/>
                <w:color w:val="000000"/>
                <w:sz w:val="20"/>
                <w:szCs w:val="20"/>
              </w:rPr>
            </w:pPr>
            <w:r>
              <w:rPr>
                <w:rFonts w:ascii="Times New Roman" w:hAnsi="Times New Roman" w:cs="Times New Roman"/>
                <w:color w:val="000000"/>
                <w:sz w:val="20"/>
                <w:szCs w:val="20"/>
              </w:rPr>
              <w:t>10527</w:t>
            </w:r>
            <w:r w:rsidR="00950BDF" w:rsidRPr="00CA6AE8">
              <w:rPr>
                <w:rFonts w:ascii="Times New Roman" w:hAnsi="Times New Roman" w:cs="Times New Roman"/>
                <w:color w:val="000000"/>
                <w:sz w:val="20"/>
                <w:szCs w:val="20"/>
              </w:rPr>
              <w:t>642</w:t>
            </w:r>
          </w:p>
        </w:tc>
      </w:tr>
      <w:tr w:rsidR="00950BDF" w:rsidRPr="00CA6AE8" w:rsidTr="00A16FA9">
        <w:trPr>
          <w:jc w:val="center"/>
        </w:trPr>
        <w:tc>
          <w:tcPr>
            <w:tcW w:w="0" w:type="auto"/>
            <w:tcBorders>
              <w:top w:val="single" w:sz="4" w:space="0" w:color="auto"/>
              <w:right w:val="single" w:sz="12" w:space="0" w:color="auto"/>
            </w:tcBorders>
            <w:shd w:val="clear" w:color="auto" w:fill="auto"/>
            <w:vAlign w:val="center"/>
          </w:tcPr>
          <w:p w:rsidR="00950BDF" w:rsidRPr="00CA6AE8" w:rsidRDefault="00950BDF" w:rsidP="00A16FA9">
            <w:pPr>
              <w:spacing w:after="0" w:line="240" w:lineRule="auto"/>
              <w:ind w:left="-57" w:right="-57"/>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 xml:space="preserve">Апорт на държавата </w:t>
            </w:r>
          </w:p>
        </w:tc>
        <w:tc>
          <w:tcPr>
            <w:tcW w:w="0" w:type="auto"/>
            <w:tcBorders>
              <w:top w:val="single" w:sz="4" w:space="0" w:color="auto"/>
              <w:left w:val="single" w:sz="12" w:space="0" w:color="auto"/>
            </w:tcBorders>
            <w:shd w:val="clear" w:color="auto" w:fill="auto"/>
            <w:vAlign w:val="center"/>
          </w:tcPr>
          <w:p w:rsidR="00950BDF" w:rsidRPr="00CA6AE8" w:rsidRDefault="00950BDF" w:rsidP="00A16FA9">
            <w:pPr>
              <w:spacing w:after="0" w:line="240" w:lineRule="auto"/>
              <w:ind w:left="-57" w:right="-57"/>
              <w:jc w:val="center"/>
              <w:rPr>
                <w:rFonts w:ascii="Times New Roman" w:hAnsi="Times New Roman" w:cs="Times New Roman"/>
                <w:color w:val="000000"/>
                <w:sz w:val="20"/>
                <w:szCs w:val="20"/>
              </w:rPr>
            </w:pPr>
            <w:r w:rsidRPr="00CA6AE8">
              <w:rPr>
                <w:rFonts w:ascii="Times New Roman" w:hAnsi="Times New Roman" w:cs="Times New Roman"/>
                <w:color w:val="000000"/>
                <w:sz w:val="20"/>
                <w:szCs w:val="20"/>
              </w:rPr>
              <w:t>хил.евро</w:t>
            </w:r>
          </w:p>
        </w:tc>
        <w:tc>
          <w:tcPr>
            <w:tcW w:w="0" w:type="auto"/>
            <w:tcBorders>
              <w:top w:val="single" w:sz="4" w:space="0" w:color="auto"/>
            </w:tcBorders>
            <w:shd w:val="clear" w:color="auto" w:fill="auto"/>
            <w:vAlign w:val="center"/>
          </w:tcPr>
          <w:p w:rsidR="00950BDF" w:rsidRPr="00CA6AE8" w:rsidRDefault="00950BDF" w:rsidP="00A16FA9">
            <w:pPr>
              <w:spacing w:after="0" w:line="240" w:lineRule="auto"/>
              <w:ind w:left="-57" w:right="-57"/>
              <w:jc w:val="right"/>
              <w:rPr>
                <w:rFonts w:ascii="Times New Roman" w:hAnsi="Times New Roman" w:cs="Times New Roman"/>
                <w:color w:val="000000"/>
                <w:sz w:val="20"/>
                <w:szCs w:val="20"/>
              </w:rPr>
            </w:pPr>
            <w:r w:rsidRPr="00CA6AE8">
              <w:rPr>
                <w:rFonts w:ascii="Times New Roman" w:hAnsi="Times New Roman" w:cs="Times New Roman"/>
                <w:color w:val="000000"/>
                <w:sz w:val="20"/>
                <w:szCs w:val="20"/>
              </w:rPr>
              <w:t> </w:t>
            </w:r>
          </w:p>
        </w:tc>
        <w:tc>
          <w:tcPr>
            <w:tcW w:w="0" w:type="auto"/>
            <w:tcBorders>
              <w:top w:val="single" w:sz="4" w:space="0" w:color="auto"/>
            </w:tcBorders>
            <w:shd w:val="clear" w:color="auto" w:fill="auto"/>
            <w:vAlign w:val="center"/>
          </w:tcPr>
          <w:p w:rsidR="00950BDF" w:rsidRPr="00CA6AE8" w:rsidRDefault="00950BDF" w:rsidP="00A16FA9">
            <w:pPr>
              <w:spacing w:after="0" w:line="240" w:lineRule="auto"/>
              <w:ind w:left="-57" w:right="-57"/>
              <w:jc w:val="right"/>
              <w:rPr>
                <w:rFonts w:ascii="Times New Roman" w:hAnsi="Times New Roman" w:cs="Times New Roman"/>
                <w:color w:val="000000"/>
                <w:sz w:val="20"/>
                <w:szCs w:val="20"/>
              </w:rPr>
            </w:pPr>
            <w:r w:rsidRPr="00CA6AE8">
              <w:rPr>
                <w:rFonts w:ascii="Times New Roman" w:hAnsi="Times New Roman" w:cs="Times New Roman"/>
                <w:color w:val="000000"/>
                <w:sz w:val="20"/>
                <w:szCs w:val="20"/>
              </w:rPr>
              <w:t> </w:t>
            </w:r>
          </w:p>
        </w:tc>
        <w:tc>
          <w:tcPr>
            <w:tcW w:w="0" w:type="auto"/>
            <w:tcBorders>
              <w:top w:val="single" w:sz="4" w:space="0" w:color="auto"/>
            </w:tcBorders>
            <w:shd w:val="clear" w:color="auto" w:fill="auto"/>
            <w:vAlign w:val="center"/>
          </w:tcPr>
          <w:p w:rsidR="00950BDF" w:rsidRPr="00CA6AE8" w:rsidRDefault="00950BDF" w:rsidP="00A16FA9">
            <w:pPr>
              <w:spacing w:after="0" w:line="240" w:lineRule="auto"/>
              <w:ind w:left="-57" w:right="-57"/>
              <w:jc w:val="right"/>
              <w:rPr>
                <w:rFonts w:ascii="Times New Roman" w:hAnsi="Times New Roman" w:cs="Times New Roman"/>
                <w:color w:val="000000"/>
                <w:sz w:val="20"/>
                <w:szCs w:val="20"/>
              </w:rPr>
            </w:pPr>
            <w:r w:rsidRPr="00CA6AE8">
              <w:rPr>
                <w:rFonts w:ascii="Times New Roman" w:hAnsi="Times New Roman" w:cs="Times New Roman"/>
                <w:color w:val="000000"/>
                <w:sz w:val="20"/>
                <w:szCs w:val="20"/>
              </w:rPr>
              <w:t> </w:t>
            </w:r>
          </w:p>
        </w:tc>
        <w:tc>
          <w:tcPr>
            <w:tcW w:w="0" w:type="auto"/>
            <w:tcBorders>
              <w:top w:val="single" w:sz="4" w:space="0" w:color="auto"/>
            </w:tcBorders>
            <w:shd w:val="clear" w:color="auto" w:fill="auto"/>
            <w:vAlign w:val="center"/>
          </w:tcPr>
          <w:p w:rsidR="00950BDF" w:rsidRPr="00CA6AE8" w:rsidRDefault="00A16FA9" w:rsidP="00A16FA9">
            <w:pPr>
              <w:spacing w:after="0" w:line="240" w:lineRule="auto"/>
              <w:ind w:left="-57" w:right="-57"/>
              <w:jc w:val="right"/>
              <w:rPr>
                <w:rFonts w:ascii="Times New Roman" w:hAnsi="Times New Roman" w:cs="Times New Roman"/>
                <w:color w:val="000000"/>
                <w:sz w:val="20"/>
                <w:szCs w:val="20"/>
              </w:rPr>
            </w:pPr>
            <w:r>
              <w:rPr>
                <w:rFonts w:ascii="Times New Roman" w:hAnsi="Times New Roman" w:cs="Times New Roman"/>
                <w:color w:val="000000"/>
                <w:sz w:val="20"/>
                <w:szCs w:val="20"/>
              </w:rPr>
              <w:t>1173</w:t>
            </w:r>
            <w:r w:rsidR="00950BDF" w:rsidRPr="00CA6AE8">
              <w:rPr>
                <w:rFonts w:ascii="Times New Roman" w:hAnsi="Times New Roman" w:cs="Times New Roman"/>
                <w:color w:val="000000"/>
                <w:sz w:val="20"/>
                <w:szCs w:val="20"/>
              </w:rPr>
              <w:t>475</w:t>
            </w:r>
          </w:p>
        </w:tc>
        <w:tc>
          <w:tcPr>
            <w:tcW w:w="0" w:type="auto"/>
            <w:tcBorders>
              <w:top w:val="single" w:sz="4" w:space="0" w:color="auto"/>
            </w:tcBorders>
            <w:shd w:val="clear" w:color="auto" w:fill="auto"/>
            <w:vAlign w:val="center"/>
          </w:tcPr>
          <w:p w:rsidR="00950BDF" w:rsidRPr="00CA6AE8" w:rsidRDefault="00A16FA9" w:rsidP="00A16FA9">
            <w:pPr>
              <w:spacing w:after="0" w:line="240" w:lineRule="auto"/>
              <w:ind w:left="-57" w:right="-57"/>
              <w:jc w:val="right"/>
              <w:rPr>
                <w:rFonts w:ascii="Times New Roman" w:hAnsi="Times New Roman" w:cs="Times New Roman"/>
                <w:color w:val="000000"/>
                <w:sz w:val="20"/>
                <w:szCs w:val="20"/>
              </w:rPr>
            </w:pPr>
            <w:r>
              <w:rPr>
                <w:rFonts w:ascii="Times New Roman" w:hAnsi="Times New Roman" w:cs="Times New Roman"/>
                <w:color w:val="000000"/>
                <w:sz w:val="20"/>
                <w:szCs w:val="20"/>
              </w:rPr>
              <w:t>1173</w:t>
            </w:r>
            <w:r w:rsidR="00950BDF" w:rsidRPr="00CA6AE8">
              <w:rPr>
                <w:rFonts w:ascii="Times New Roman" w:hAnsi="Times New Roman" w:cs="Times New Roman"/>
                <w:color w:val="000000"/>
                <w:sz w:val="20"/>
                <w:szCs w:val="20"/>
              </w:rPr>
              <w:t>475</w:t>
            </w:r>
          </w:p>
        </w:tc>
        <w:tc>
          <w:tcPr>
            <w:tcW w:w="0" w:type="auto"/>
            <w:tcBorders>
              <w:top w:val="single" w:sz="4" w:space="0" w:color="auto"/>
            </w:tcBorders>
            <w:shd w:val="clear" w:color="auto" w:fill="auto"/>
            <w:vAlign w:val="center"/>
          </w:tcPr>
          <w:p w:rsidR="00950BDF" w:rsidRPr="00CA6AE8" w:rsidRDefault="00A16FA9" w:rsidP="00A16FA9">
            <w:pPr>
              <w:spacing w:after="0" w:line="240" w:lineRule="auto"/>
              <w:ind w:left="-57" w:right="-57"/>
              <w:jc w:val="right"/>
              <w:rPr>
                <w:rFonts w:ascii="Times New Roman" w:hAnsi="Times New Roman" w:cs="Times New Roman"/>
                <w:color w:val="000000"/>
                <w:sz w:val="20"/>
                <w:szCs w:val="20"/>
              </w:rPr>
            </w:pPr>
            <w:r>
              <w:rPr>
                <w:rFonts w:ascii="Times New Roman" w:hAnsi="Times New Roman" w:cs="Times New Roman"/>
                <w:color w:val="000000"/>
                <w:sz w:val="20"/>
                <w:szCs w:val="20"/>
              </w:rPr>
              <w:t>1173</w:t>
            </w:r>
            <w:r w:rsidR="00950BDF" w:rsidRPr="00CA6AE8">
              <w:rPr>
                <w:rFonts w:ascii="Times New Roman" w:hAnsi="Times New Roman" w:cs="Times New Roman"/>
                <w:color w:val="000000"/>
                <w:sz w:val="20"/>
                <w:szCs w:val="20"/>
              </w:rPr>
              <w:t>475</w:t>
            </w:r>
          </w:p>
        </w:tc>
      </w:tr>
      <w:tr w:rsidR="00950BDF" w:rsidRPr="00CA6AE8" w:rsidTr="00A16FA9">
        <w:trPr>
          <w:jc w:val="center"/>
        </w:trPr>
        <w:tc>
          <w:tcPr>
            <w:tcW w:w="0" w:type="auto"/>
            <w:tcBorders>
              <w:right w:val="single" w:sz="12" w:space="0" w:color="auto"/>
            </w:tcBorders>
            <w:shd w:val="clear" w:color="auto" w:fill="auto"/>
            <w:vAlign w:val="center"/>
          </w:tcPr>
          <w:p w:rsidR="00950BDF" w:rsidRPr="00CA6AE8" w:rsidRDefault="00950BDF" w:rsidP="00A16FA9">
            <w:pPr>
              <w:spacing w:after="0" w:line="240" w:lineRule="auto"/>
              <w:ind w:left="-57" w:right="-57"/>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Дълг</w:t>
            </w:r>
          </w:p>
        </w:tc>
        <w:tc>
          <w:tcPr>
            <w:tcW w:w="0" w:type="auto"/>
            <w:tcBorders>
              <w:left w:val="single" w:sz="12" w:space="0" w:color="auto"/>
            </w:tcBorders>
            <w:shd w:val="clear" w:color="auto" w:fill="auto"/>
            <w:vAlign w:val="center"/>
          </w:tcPr>
          <w:p w:rsidR="00950BDF" w:rsidRPr="00CA6AE8" w:rsidRDefault="00950BDF" w:rsidP="00A16FA9">
            <w:pPr>
              <w:spacing w:after="0" w:line="240" w:lineRule="auto"/>
              <w:ind w:left="-57" w:right="-57"/>
              <w:jc w:val="center"/>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w:t>
            </w:r>
          </w:p>
        </w:tc>
        <w:tc>
          <w:tcPr>
            <w:tcW w:w="0" w:type="auto"/>
            <w:shd w:val="clear" w:color="auto" w:fill="auto"/>
            <w:vAlign w:val="center"/>
          </w:tcPr>
          <w:p w:rsidR="00950BDF" w:rsidRPr="00CA6AE8" w:rsidRDefault="00A16FA9" w:rsidP="00A16FA9">
            <w:pPr>
              <w:spacing w:after="0" w:line="240" w:lineRule="auto"/>
              <w:ind w:left="-57" w:right="-57"/>
              <w:jc w:val="right"/>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0" w:type="auto"/>
            <w:shd w:val="clear" w:color="auto" w:fill="auto"/>
            <w:vAlign w:val="center"/>
          </w:tcPr>
          <w:p w:rsidR="00950BDF" w:rsidRPr="00CA6AE8" w:rsidRDefault="00A16FA9" w:rsidP="00A16FA9">
            <w:pPr>
              <w:spacing w:after="0" w:line="240" w:lineRule="auto"/>
              <w:ind w:left="-57" w:right="-57"/>
              <w:jc w:val="right"/>
              <w:rPr>
                <w:rFonts w:ascii="Times New Roman" w:hAnsi="Times New Roman" w:cs="Times New Roman"/>
                <w:color w:val="000000"/>
                <w:sz w:val="20"/>
                <w:szCs w:val="20"/>
              </w:rPr>
            </w:pPr>
            <w:r>
              <w:rPr>
                <w:rFonts w:ascii="Times New Roman" w:hAnsi="Times New Roman" w:cs="Times New Roman"/>
                <w:color w:val="000000"/>
                <w:sz w:val="20"/>
                <w:szCs w:val="20"/>
              </w:rPr>
              <w:t>60</w:t>
            </w:r>
          </w:p>
        </w:tc>
        <w:tc>
          <w:tcPr>
            <w:tcW w:w="0" w:type="auto"/>
            <w:shd w:val="clear" w:color="auto" w:fill="auto"/>
            <w:vAlign w:val="center"/>
          </w:tcPr>
          <w:p w:rsidR="00950BDF" w:rsidRPr="00CA6AE8" w:rsidRDefault="00A16FA9" w:rsidP="00A16FA9">
            <w:pPr>
              <w:spacing w:after="0" w:line="240" w:lineRule="auto"/>
              <w:ind w:left="-57" w:right="-57"/>
              <w:jc w:val="right"/>
              <w:rPr>
                <w:rFonts w:ascii="Times New Roman" w:hAnsi="Times New Roman" w:cs="Times New Roman"/>
                <w:color w:val="000000"/>
                <w:sz w:val="20"/>
                <w:szCs w:val="20"/>
              </w:rPr>
            </w:pPr>
            <w:r>
              <w:rPr>
                <w:rFonts w:ascii="Times New Roman" w:hAnsi="Times New Roman" w:cs="Times New Roman"/>
                <w:color w:val="000000"/>
                <w:sz w:val="20"/>
                <w:szCs w:val="20"/>
              </w:rPr>
              <w:t>70</w:t>
            </w:r>
          </w:p>
        </w:tc>
        <w:tc>
          <w:tcPr>
            <w:tcW w:w="0" w:type="auto"/>
            <w:shd w:val="clear" w:color="auto" w:fill="auto"/>
            <w:vAlign w:val="center"/>
          </w:tcPr>
          <w:p w:rsidR="00950BDF" w:rsidRPr="00CA6AE8" w:rsidRDefault="00A16FA9" w:rsidP="00A16FA9">
            <w:pPr>
              <w:spacing w:after="0" w:line="240" w:lineRule="auto"/>
              <w:ind w:left="-57" w:right="-57"/>
              <w:jc w:val="right"/>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0" w:type="auto"/>
            <w:shd w:val="clear" w:color="auto" w:fill="auto"/>
            <w:vAlign w:val="center"/>
          </w:tcPr>
          <w:p w:rsidR="00950BDF" w:rsidRPr="00CA6AE8" w:rsidRDefault="00A16FA9" w:rsidP="00A16FA9">
            <w:pPr>
              <w:spacing w:after="0" w:line="240" w:lineRule="auto"/>
              <w:ind w:left="-57" w:right="-57"/>
              <w:jc w:val="right"/>
              <w:rPr>
                <w:rFonts w:ascii="Times New Roman" w:hAnsi="Times New Roman" w:cs="Times New Roman"/>
                <w:color w:val="000000"/>
                <w:sz w:val="20"/>
                <w:szCs w:val="20"/>
              </w:rPr>
            </w:pPr>
            <w:r>
              <w:rPr>
                <w:rFonts w:ascii="Times New Roman" w:hAnsi="Times New Roman" w:cs="Times New Roman"/>
                <w:color w:val="000000"/>
                <w:sz w:val="20"/>
                <w:szCs w:val="20"/>
              </w:rPr>
              <w:t>60</w:t>
            </w:r>
          </w:p>
        </w:tc>
        <w:tc>
          <w:tcPr>
            <w:tcW w:w="0" w:type="auto"/>
            <w:shd w:val="clear" w:color="auto" w:fill="auto"/>
            <w:vAlign w:val="center"/>
          </w:tcPr>
          <w:p w:rsidR="00950BDF" w:rsidRPr="00CA6AE8" w:rsidRDefault="00A16FA9" w:rsidP="00A16FA9">
            <w:pPr>
              <w:spacing w:after="0" w:line="240" w:lineRule="auto"/>
              <w:ind w:left="-57" w:right="-57"/>
              <w:jc w:val="right"/>
              <w:rPr>
                <w:rFonts w:ascii="Times New Roman" w:hAnsi="Times New Roman" w:cs="Times New Roman"/>
                <w:color w:val="000000"/>
                <w:sz w:val="20"/>
                <w:szCs w:val="20"/>
              </w:rPr>
            </w:pPr>
            <w:r>
              <w:rPr>
                <w:rFonts w:ascii="Times New Roman" w:hAnsi="Times New Roman" w:cs="Times New Roman"/>
                <w:color w:val="000000"/>
                <w:sz w:val="20"/>
                <w:szCs w:val="20"/>
              </w:rPr>
              <w:t>70</w:t>
            </w:r>
          </w:p>
        </w:tc>
      </w:tr>
      <w:tr w:rsidR="00950BDF" w:rsidRPr="00CA6AE8" w:rsidTr="00A16FA9">
        <w:trPr>
          <w:jc w:val="center"/>
        </w:trPr>
        <w:tc>
          <w:tcPr>
            <w:tcW w:w="0" w:type="auto"/>
            <w:tcBorders>
              <w:right w:val="single" w:sz="12" w:space="0" w:color="auto"/>
            </w:tcBorders>
            <w:shd w:val="clear" w:color="auto" w:fill="auto"/>
            <w:vAlign w:val="center"/>
          </w:tcPr>
          <w:p w:rsidR="00950BDF" w:rsidRPr="00CA6AE8" w:rsidRDefault="00950BDF" w:rsidP="00A16FA9">
            <w:pPr>
              <w:spacing w:after="0" w:line="240" w:lineRule="auto"/>
              <w:ind w:left="-57" w:right="-57"/>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Собствен капитал</w:t>
            </w:r>
          </w:p>
        </w:tc>
        <w:tc>
          <w:tcPr>
            <w:tcW w:w="0" w:type="auto"/>
            <w:tcBorders>
              <w:left w:val="single" w:sz="12" w:space="0" w:color="auto"/>
            </w:tcBorders>
            <w:shd w:val="clear" w:color="auto" w:fill="auto"/>
            <w:vAlign w:val="center"/>
          </w:tcPr>
          <w:p w:rsidR="00950BDF" w:rsidRPr="00CA6AE8" w:rsidRDefault="00950BDF" w:rsidP="00A16FA9">
            <w:pPr>
              <w:spacing w:after="0" w:line="240" w:lineRule="auto"/>
              <w:ind w:left="-57" w:right="-57"/>
              <w:jc w:val="center"/>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w:t>
            </w:r>
          </w:p>
        </w:tc>
        <w:tc>
          <w:tcPr>
            <w:tcW w:w="0" w:type="auto"/>
            <w:shd w:val="clear" w:color="auto" w:fill="auto"/>
            <w:vAlign w:val="center"/>
          </w:tcPr>
          <w:p w:rsidR="00950BDF" w:rsidRPr="00CA6AE8" w:rsidRDefault="00A16FA9" w:rsidP="00A16FA9">
            <w:pPr>
              <w:spacing w:after="0" w:line="240" w:lineRule="auto"/>
              <w:ind w:left="-57" w:right="-57"/>
              <w:jc w:val="right"/>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0" w:type="auto"/>
            <w:shd w:val="clear" w:color="auto" w:fill="auto"/>
            <w:vAlign w:val="center"/>
          </w:tcPr>
          <w:p w:rsidR="00950BDF" w:rsidRPr="00CA6AE8" w:rsidRDefault="00A16FA9" w:rsidP="00A16FA9">
            <w:pPr>
              <w:spacing w:after="0" w:line="240" w:lineRule="auto"/>
              <w:ind w:left="-57" w:right="-57"/>
              <w:jc w:val="right"/>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0" w:type="auto"/>
            <w:shd w:val="clear" w:color="auto" w:fill="auto"/>
            <w:vAlign w:val="center"/>
          </w:tcPr>
          <w:p w:rsidR="00950BDF" w:rsidRPr="00CA6AE8" w:rsidRDefault="00A16FA9" w:rsidP="00A16FA9">
            <w:pPr>
              <w:spacing w:after="0" w:line="240" w:lineRule="auto"/>
              <w:ind w:left="-57" w:right="-57"/>
              <w:jc w:val="right"/>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0" w:type="auto"/>
            <w:shd w:val="clear" w:color="auto" w:fill="auto"/>
            <w:vAlign w:val="center"/>
          </w:tcPr>
          <w:p w:rsidR="00950BDF" w:rsidRPr="00CA6AE8" w:rsidRDefault="00A16FA9" w:rsidP="00A16FA9">
            <w:pPr>
              <w:spacing w:after="0" w:line="240" w:lineRule="auto"/>
              <w:ind w:left="-57" w:right="-57"/>
              <w:jc w:val="right"/>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0" w:type="auto"/>
            <w:shd w:val="clear" w:color="auto" w:fill="auto"/>
            <w:vAlign w:val="center"/>
          </w:tcPr>
          <w:p w:rsidR="00950BDF" w:rsidRPr="00CA6AE8" w:rsidRDefault="00A16FA9" w:rsidP="00A16FA9">
            <w:pPr>
              <w:spacing w:after="0" w:line="240" w:lineRule="auto"/>
              <w:ind w:left="-57" w:right="-57"/>
              <w:jc w:val="right"/>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0" w:type="auto"/>
            <w:shd w:val="clear" w:color="auto" w:fill="auto"/>
            <w:vAlign w:val="center"/>
          </w:tcPr>
          <w:p w:rsidR="00950BDF" w:rsidRPr="00CA6AE8" w:rsidRDefault="00A16FA9" w:rsidP="00A16FA9">
            <w:pPr>
              <w:spacing w:after="0" w:line="240" w:lineRule="auto"/>
              <w:ind w:left="-57" w:right="-57"/>
              <w:jc w:val="right"/>
              <w:rPr>
                <w:rFonts w:ascii="Times New Roman" w:hAnsi="Times New Roman" w:cs="Times New Roman"/>
                <w:color w:val="000000"/>
                <w:sz w:val="20"/>
                <w:szCs w:val="20"/>
              </w:rPr>
            </w:pPr>
            <w:r>
              <w:rPr>
                <w:rFonts w:ascii="Times New Roman" w:hAnsi="Times New Roman" w:cs="Times New Roman"/>
                <w:color w:val="000000"/>
                <w:sz w:val="20"/>
                <w:szCs w:val="20"/>
              </w:rPr>
              <w:t>30</w:t>
            </w:r>
          </w:p>
        </w:tc>
      </w:tr>
      <w:tr w:rsidR="00FB17F2" w:rsidRPr="00CA6AE8" w:rsidTr="00A16FA9">
        <w:trPr>
          <w:jc w:val="center"/>
        </w:trPr>
        <w:tc>
          <w:tcPr>
            <w:tcW w:w="0" w:type="auto"/>
            <w:tcBorders>
              <w:right w:val="single" w:sz="12" w:space="0" w:color="auto"/>
            </w:tcBorders>
            <w:shd w:val="clear" w:color="auto" w:fill="auto"/>
            <w:vAlign w:val="center"/>
          </w:tcPr>
          <w:p w:rsidR="00FB17F2" w:rsidRPr="00CA6AE8" w:rsidRDefault="00FB17F2" w:rsidP="00A16FA9">
            <w:pPr>
              <w:spacing w:after="0" w:line="240" w:lineRule="auto"/>
              <w:ind w:left="-57" w:right="-57"/>
              <w:rPr>
                <w:rFonts w:ascii="Times New Roman" w:eastAsia="Times New Roman" w:hAnsi="Times New Roman" w:cs="Times New Roman"/>
                <w:color w:val="000000"/>
                <w:sz w:val="20"/>
                <w:szCs w:val="20"/>
              </w:rPr>
            </w:pPr>
            <w:r w:rsidRPr="00761BB7">
              <w:rPr>
                <w:rFonts w:ascii="Times New Roman" w:eastAsia="Times New Roman" w:hAnsi="Times New Roman" w:cs="Times New Roman"/>
                <w:color w:val="000000"/>
                <w:sz w:val="20"/>
                <w:szCs w:val="20"/>
              </w:rPr>
              <w:t>Дълг</w:t>
            </w:r>
          </w:p>
        </w:tc>
        <w:tc>
          <w:tcPr>
            <w:tcW w:w="0" w:type="auto"/>
            <w:tcBorders>
              <w:left w:val="single" w:sz="12" w:space="0" w:color="auto"/>
            </w:tcBorders>
            <w:shd w:val="clear" w:color="auto" w:fill="auto"/>
            <w:vAlign w:val="center"/>
          </w:tcPr>
          <w:p w:rsidR="00FB17F2" w:rsidRPr="00CA6AE8" w:rsidRDefault="00FB17F2" w:rsidP="00A16FA9">
            <w:pPr>
              <w:spacing w:after="0" w:line="240" w:lineRule="auto"/>
              <w:ind w:left="-57" w:right="-57"/>
              <w:jc w:val="center"/>
              <w:rPr>
                <w:rFonts w:ascii="Times New Roman" w:hAnsi="Times New Roman" w:cs="Times New Roman"/>
                <w:color w:val="000000"/>
                <w:sz w:val="20"/>
                <w:szCs w:val="20"/>
              </w:rPr>
            </w:pPr>
            <w:r w:rsidRPr="00CA6AE8">
              <w:rPr>
                <w:rFonts w:ascii="Times New Roman" w:hAnsi="Times New Roman" w:cs="Times New Roman"/>
                <w:color w:val="000000"/>
                <w:sz w:val="20"/>
                <w:szCs w:val="20"/>
              </w:rPr>
              <w:t>хил.евро</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color w:val="000000"/>
                <w:sz w:val="20"/>
                <w:szCs w:val="20"/>
              </w:rPr>
            </w:pPr>
            <w:r w:rsidRPr="00761BB7">
              <w:rPr>
                <w:rFonts w:ascii="Times New Roman" w:hAnsi="Times New Roman" w:cs="Times New Roman"/>
                <w:color w:val="000000"/>
                <w:sz w:val="19"/>
                <w:szCs w:val="19"/>
              </w:rPr>
              <w:t>5 263 821</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color w:val="000000"/>
                <w:sz w:val="20"/>
                <w:szCs w:val="20"/>
              </w:rPr>
            </w:pPr>
            <w:r w:rsidRPr="00761BB7">
              <w:rPr>
                <w:rFonts w:ascii="Times New Roman" w:hAnsi="Times New Roman" w:cs="Times New Roman"/>
                <w:color w:val="000000"/>
                <w:sz w:val="19"/>
                <w:szCs w:val="19"/>
              </w:rPr>
              <w:t>6 316 585</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color w:val="000000"/>
                <w:sz w:val="20"/>
                <w:szCs w:val="20"/>
              </w:rPr>
            </w:pPr>
            <w:r w:rsidRPr="00761BB7">
              <w:rPr>
                <w:rFonts w:ascii="Times New Roman" w:hAnsi="Times New Roman" w:cs="Times New Roman"/>
                <w:color w:val="000000"/>
                <w:sz w:val="19"/>
                <w:szCs w:val="19"/>
              </w:rPr>
              <w:t>7 369 350</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color w:val="000000"/>
                <w:sz w:val="20"/>
                <w:szCs w:val="20"/>
              </w:rPr>
            </w:pPr>
            <w:r w:rsidRPr="00761BB7">
              <w:rPr>
                <w:rFonts w:ascii="Times New Roman" w:hAnsi="Times New Roman" w:cs="Times New Roman"/>
                <w:color w:val="000000"/>
                <w:sz w:val="19"/>
                <w:szCs w:val="19"/>
              </w:rPr>
              <w:t>5 263 821</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color w:val="000000"/>
                <w:sz w:val="20"/>
                <w:szCs w:val="20"/>
              </w:rPr>
            </w:pPr>
            <w:r w:rsidRPr="00761BB7">
              <w:rPr>
                <w:rFonts w:ascii="Times New Roman" w:hAnsi="Times New Roman" w:cs="Times New Roman"/>
                <w:color w:val="000000"/>
                <w:sz w:val="19"/>
                <w:szCs w:val="19"/>
              </w:rPr>
              <w:t>6 316 585</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color w:val="000000"/>
                <w:sz w:val="20"/>
                <w:szCs w:val="20"/>
              </w:rPr>
            </w:pPr>
            <w:r w:rsidRPr="00761BB7">
              <w:rPr>
                <w:rFonts w:ascii="Times New Roman" w:hAnsi="Times New Roman" w:cs="Times New Roman"/>
                <w:color w:val="000000"/>
                <w:sz w:val="19"/>
                <w:szCs w:val="19"/>
              </w:rPr>
              <w:t>7 369 350</w:t>
            </w:r>
          </w:p>
        </w:tc>
      </w:tr>
      <w:tr w:rsidR="00FB17F2" w:rsidRPr="00CA6AE8" w:rsidTr="00A16FA9">
        <w:trPr>
          <w:jc w:val="center"/>
        </w:trPr>
        <w:tc>
          <w:tcPr>
            <w:tcW w:w="0" w:type="auto"/>
            <w:tcBorders>
              <w:right w:val="single" w:sz="12" w:space="0" w:color="auto"/>
            </w:tcBorders>
            <w:shd w:val="clear" w:color="auto" w:fill="auto"/>
            <w:vAlign w:val="center"/>
          </w:tcPr>
          <w:p w:rsidR="00FB17F2" w:rsidRPr="00CA6AE8" w:rsidRDefault="00FB17F2" w:rsidP="00A16FA9">
            <w:pPr>
              <w:spacing w:after="0" w:line="240" w:lineRule="auto"/>
              <w:ind w:left="-57" w:right="-57"/>
              <w:rPr>
                <w:rFonts w:ascii="Times New Roman" w:eastAsia="Times New Roman" w:hAnsi="Times New Roman" w:cs="Times New Roman"/>
                <w:color w:val="000000"/>
                <w:sz w:val="20"/>
                <w:szCs w:val="20"/>
              </w:rPr>
            </w:pPr>
            <w:r w:rsidRPr="00761BB7">
              <w:rPr>
                <w:rFonts w:ascii="Times New Roman" w:eastAsia="Times New Roman" w:hAnsi="Times New Roman" w:cs="Times New Roman"/>
                <w:color w:val="000000"/>
                <w:sz w:val="20"/>
                <w:szCs w:val="20"/>
              </w:rPr>
              <w:t>Собствен капитал</w:t>
            </w:r>
          </w:p>
        </w:tc>
        <w:tc>
          <w:tcPr>
            <w:tcW w:w="0" w:type="auto"/>
            <w:tcBorders>
              <w:left w:val="single" w:sz="12" w:space="0" w:color="auto"/>
            </w:tcBorders>
            <w:shd w:val="clear" w:color="auto" w:fill="auto"/>
            <w:vAlign w:val="center"/>
          </w:tcPr>
          <w:p w:rsidR="00FB17F2" w:rsidRPr="00CA6AE8" w:rsidRDefault="00FB17F2" w:rsidP="00A16FA9">
            <w:pPr>
              <w:spacing w:after="0" w:line="240" w:lineRule="auto"/>
              <w:ind w:left="-57" w:right="-57"/>
              <w:jc w:val="center"/>
              <w:rPr>
                <w:rFonts w:ascii="Times New Roman" w:hAnsi="Times New Roman" w:cs="Times New Roman"/>
                <w:color w:val="000000"/>
                <w:sz w:val="20"/>
                <w:szCs w:val="20"/>
              </w:rPr>
            </w:pPr>
            <w:r w:rsidRPr="00CA6AE8">
              <w:rPr>
                <w:rFonts w:ascii="Times New Roman" w:hAnsi="Times New Roman" w:cs="Times New Roman"/>
                <w:color w:val="000000"/>
                <w:sz w:val="20"/>
                <w:szCs w:val="20"/>
              </w:rPr>
              <w:t>хил.евро</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color w:val="000000"/>
                <w:sz w:val="20"/>
                <w:szCs w:val="20"/>
              </w:rPr>
            </w:pPr>
            <w:r w:rsidRPr="00761BB7">
              <w:rPr>
                <w:rFonts w:ascii="Times New Roman" w:hAnsi="Times New Roman" w:cs="Times New Roman"/>
                <w:color w:val="000000"/>
                <w:sz w:val="19"/>
                <w:szCs w:val="19"/>
              </w:rPr>
              <w:t>5 263 821</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color w:val="000000"/>
                <w:sz w:val="20"/>
                <w:szCs w:val="20"/>
              </w:rPr>
            </w:pPr>
            <w:r w:rsidRPr="00761BB7">
              <w:rPr>
                <w:rFonts w:ascii="Times New Roman" w:hAnsi="Times New Roman" w:cs="Times New Roman"/>
                <w:color w:val="000000"/>
                <w:sz w:val="19"/>
                <w:szCs w:val="19"/>
              </w:rPr>
              <w:t>4 211 057</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color w:val="000000"/>
                <w:sz w:val="20"/>
                <w:szCs w:val="20"/>
              </w:rPr>
            </w:pPr>
            <w:r w:rsidRPr="00761BB7">
              <w:rPr>
                <w:rFonts w:ascii="Times New Roman" w:hAnsi="Times New Roman" w:cs="Times New Roman"/>
                <w:color w:val="000000"/>
                <w:sz w:val="19"/>
                <w:szCs w:val="19"/>
              </w:rPr>
              <w:t>3 158 293</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color w:val="000000"/>
                <w:sz w:val="20"/>
                <w:szCs w:val="20"/>
              </w:rPr>
            </w:pPr>
            <w:r w:rsidRPr="00761BB7">
              <w:rPr>
                <w:rFonts w:ascii="Times New Roman" w:hAnsi="Times New Roman" w:cs="Times New Roman"/>
                <w:color w:val="000000"/>
                <w:sz w:val="19"/>
                <w:szCs w:val="19"/>
              </w:rPr>
              <w:t>5 263 821</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color w:val="000000"/>
                <w:sz w:val="20"/>
                <w:szCs w:val="20"/>
              </w:rPr>
            </w:pPr>
            <w:r w:rsidRPr="00761BB7">
              <w:rPr>
                <w:rFonts w:ascii="Times New Roman" w:hAnsi="Times New Roman" w:cs="Times New Roman"/>
                <w:color w:val="000000"/>
                <w:sz w:val="19"/>
                <w:szCs w:val="19"/>
              </w:rPr>
              <w:t>4 211 057</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color w:val="000000"/>
                <w:sz w:val="20"/>
                <w:szCs w:val="20"/>
              </w:rPr>
            </w:pPr>
            <w:r w:rsidRPr="00761BB7">
              <w:rPr>
                <w:rFonts w:ascii="Times New Roman" w:hAnsi="Times New Roman" w:cs="Times New Roman"/>
                <w:color w:val="000000"/>
                <w:sz w:val="19"/>
                <w:szCs w:val="19"/>
              </w:rPr>
              <w:t>3 158 293</w:t>
            </w:r>
          </w:p>
        </w:tc>
      </w:tr>
      <w:tr w:rsidR="00FB17F2" w:rsidRPr="00CA6AE8" w:rsidTr="00A16FA9">
        <w:trPr>
          <w:jc w:val="center"/>
        </w:trPr>
        <w:tc>
          <w:tcPr>
            <w:tcW w:w="0" w:type="auto"/>
            <w:tcBorders>
              <w:right w:val="single" w:sz="12" w:space="0" w:color="auto"/>
            </w:tcBorders>
            <w:shd w:val="clear" w:color="auto" w:fill="auto"/>
            <w:vAlign w:val="center"/>
          </w:tcPr>
          <w:p w:rsidR="00FB17F2" w:rsidRPr="00CA6AE8" w:rsidRDefault="00FB17F2" w:rsidP="00A16FA9">
            <w:pPr>
              <w:spacing w:after="0" w:line="240" w:lineRule="auto"/>
              <w:ind w:left="-57" w:right="-57"/>
              <w:rPr>
                <w:rFonts w:ascii="Times New Roman" w:eastAsia="Times New Roman" w:hAnsi="Times New Roman" w:cs="Times New Roman"/>
                <w:color w:val="000000"/>
                <w:sz w:val="20"/>
                <w:szCs w:val="20"/>
              </w:rPr>
            </w:pPr>
            <w:r w:rsidRPr="00761BB7">
              <w:rPr>
                <w:rFonts w:ascii="Times New Roman" w:eastAsia="Times New Roman" w:hAnsi="Times New Roman" w:cs="Times New Roman"/>
                <w:color w:val="000000"/>
                <w:sz w:val="20"/>
                <w:szCs w:val="20"/>
              </w:rPr>
              <w:t>Първоначална такса</w:t>
            </w:r>
          </w:p>
        </w:tc>
        <w:tc>
          <w:tcPr>
            <w:tcW w:w="0" w:type="auto"/>
            <w:tcBorders>
              <w:left w:val="single" w:sz="12" w:space="0" w:color="auto"/>
            </w:tcBorders>
            <w:shd w:val="clear" w:color="auto" w:fill="auto"/>
            <w:vAlign w:val="center"/>
          </w:tcPr>
          <w:p w:rsidR="00FB17F2" w:rsidRPr="00CA6AE8" w:rsidRDefault="00FB17F2" w:rsidP="00A16FA9">
            <w:pPr>
              <w:spacing w:after="0" w:line="240" w:lineRule="auto"/>
              <w:ind w:left="-57" w:right="-57"/>
              <w:jc w:val="center"/>
              <w:rPr>
                <w:rFonts w:ascii="Times New Roman" w:hAnsi="Times New Roman" w:cs="Times New Roman"/>
                <w:color w:val="000000"/>
                <w:sz w:val="20"/>
                <w:szCs w:val="20"/>
              </w:rPr>
            </w:pPr>
            <w:r w:rsidRPr="00CA6AE8">
              <w:rPr>
                <w:rFonts w:ascii="Times New Roman" w:hAnsi="Times New Roman" w:cs="Times New Roman"/>
                <w:color w:val="000000"/>
                <w:sz w:val="20"/>
                <w:szCs w:val="20"/>
              </w:rPr>
              <w:t>хил.евро</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color w:val="000000"/>
                <w:sz w:val="20"/>
                <w:szCs w:val="20"/>
              </w:rPr>
            </w:pPr>
            <w:r w:rsidRPr="00761BB7">
              <w:rPr>
                <w:rFonts w:ascii="Times New Roman" w:hAnsi="Times New Roman" w:cs="Times New Roman"/>
                <w:color w:val="000000"/>
                <w:sz w:val="19"/>
                <w:szCs w:val="19"/>
              </w:rPr>
              <w:t>131 596</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color w:val="000000"/>
                <w:sz w:val="20"/>
                <w:szCs w:val="20"/>
              </w:rPr>
            </w:pPr>
            <w:r w:rsidRPr="00761BB7">
              <w:rPr>
                <w:rFonts w:ascii="Times New Roman" w:hAnsi="Times New Roman" w:cs="Times New Roman"/>
                <w:color w:val="000000"/>
                <w:sz w:val="19"/>
                <w:szCs w:val="19"/>
              </w:rPr>
              <w:t>157 915</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color w:val="000000"/>
                <w:sz w:val="20"/>
                <w:szCs w:val="20"/>
              </w:rPr>
            </w:pPr>
            <w:r w:rsidRPr="00761BB7">
              <w:rPr>
                <w:rFonts w:ascii="Times New Roman" w:hAnsi="Times New Roman" w:cs="Times New Roman"/>
                <w:color w:val="000000"/>
                <w:sz w:val="19"/>
                <w:szCs w:val="19"/>
              </w:rPr>
              <w:t>184 234</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color w:val="000000"/>
                <w:sz w:val="20"/>
                <w:szCs w:val="20"/>
              </w:rPr>
            </w:pPr>
            <w:r w:rsidRPr="00761BB7">
              <w:rPr>
                <w:rFonts w:ascii="Times New Roman" w:hAnsi="Times New Roman" w:cs="Times New Roman"/>
                <w:color w:val="000000"/>
                <w:sz w:val="19"/>
                <w:szCs w:val="19"/>
              </w:rPr>
              <w:t>131 596</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color w:val="000000"/>
                <w:sz w:val="20"/>
                <w:szCs w:val="20"/>
              </w:rPr>
            </w:pPr>
            <w:r w:rsidRPr="00761BB7">
              <w:rPr>
                <w:rFonts w:ascii="Times New Roman" w:hAnsi="Times New Roman" w:cs="Times New Roman"/>
                <w:color w:val="000000"/>
                <w:sz w:val="19"/>
                <w:szCs w:val="19"/>
              </w:rPr>
              <w:t>157 915</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color w:val="000000"/>
                <w:sz w:val="20"/>
                <w:szCs w:val="20"/>
              </w:rPr>
            </w:pPr>
            <w:r w:rsidRPr="00761BB7">
              <w:rPr>
                <w:rFonts w:ascii="Times New Roman" w:hAnsi="Times New Roman" w:cs="Times New Roman"/>
                <w:color w:val="000000"/>
                <w:sz w:val="19"/>
                <w:szCs w:val="19"/>
              </w:rPr>
              <w:t>184 234</w:t>
            </w:r>
          </w:p>
        </w:tc>
      </w:tr>
      <w:tr w:rsidR="00FB17F2" w:rsidRPr="00CA6AE8" w:rsidTr="00A16FA9">
        <w:trPr>
          <w:jc w:val="center"/>
        </w:trPr>
        <w:tc>
          <w:tcPr>
            <w:tcW w:w="0" w:type="auto"/>
            <w:tcBorders>
              <w:right w:val="single" w:sz="12" w:space="0" w:color="auto"/>
            </w:tcBorders>
            <w:shd w:val="clear" w:color="auto" w:fill="auto"/>
            <w:vAlign w:val="center"/>
          </w:tcPr>
          <w:p w:rsidR="00FB17F2" w:rsidRPr="00CA6AE8" w:rsidRDefault="00FB17F2" w:rsidP="00A16FA9">
            <w:pPr>
              <w:spacing w:after="0" w:line="240" w:lineRule="auto"/>
              <w:ind w:left="-57" w:right="-57"/>
              <w:rPr>
                <w:rFonts w:ascii="Times New Roman" w:eastAsia="Times New Roman" w:hAnsi="Times New Roman" w:cs="Times New Roman"/>
                <w:color w:val="000000"/>
                <w:sz w:val="20"/>
                <w:szCs w:val="20"/>
              </w:rPr>
            </w:pPr>
            <w:r w:rsidRPr="00761BB7">
              <w:rPr>
                <w:rFonts w:ascii="Times New Roman" w:eastAsia="Times New Roman" w:hAnsi="Times New Roman" w:cs="Times New Roman"/>
                <w:color w:val="000000"/>
                <w:sz w:val="20"/>
                <w:szCs w:val="20"/>
              </w:rPr>
              <w:t>Такса ангажимент (върху неусвоената сума)</w:t>
            </w:r>
          </w:p>
        </w:tc>
        <w:tc>
          <w:tcPr>
            <w:tcW w:w="0" w:type="auto"/>
            <w:tcBorders>
              <w:left w:val="single" w:sz="12" w:space="0" w:color="auto"/>
            </w:tcBorders>
            <w:shd w:val="clear" w:color="auto" w:fill="auto"/>
            <w:vAlign w:val="center"/>
          </w:tcPr>
          <w:p w:rsidR="00FB17F2" w:rsidRPr="00CA6AE8" w:rsidRDefault="00FB17F2" w:rsidP="00A16FA9">
            <w:pPr>
              <w:spacing w:after="0" w:line="240" w:lineRule="auto"/>
              <w:ind w:left="-57" w:right="-57"/>
              <w:jc w:val="center"/>
              <w:rPr>
                <w:rFonts w:ascii="Times New Roman" w:hAnsi="Times New Roman" w:cs="Times New Roman"/>
                <w:color w:val="000000"/>
                <w:sz w:val="20"/>
                <w:szCs w:val="20"/>
              </w:rPr>
            </w:pPr>
            <w:r w:rsidRPr="00CA6AE8">
              <w:rPr>
                <w:rFonts w:ascii="Times New Roman" w:hAnsi="Times New Roman" w:cs="Times New Roman"/>
                <w:color w:val="000000"/>
                <w:sz w:val="20"/>
                <w:szCs w:val="20"/>
              </w:rPr>
              <w:t>хил.евро</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sz w:val="20"/>
                <w:szCs w:val="20"/>
              </w:rPr>
            </w:pPr>
            <w:r w:rsidRPr="00761BB7">
              <w:rPr>
                <w:rFonts w:ascii="Times New Roman" w:hAnsi="Times New Roman" w:cs="Times New Roman"/>
                <w:color w:val="000000"/>
                <w:sz w:val="19"/>
                <w:szCs w:val="19"/>
              </w:rPr>
              <w:t>384 912</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sz w:val="20"/>
                <w:szCs w:val="20"/>
              </w:rPr>
            </w:pPr>
            <w:r w:rsidRPr="00761BB7">
              <w:rPr>
                <w:rFonts w:ascii="Times New Roman" w:hAnsi="Times New Roman" w:cs="Times New Roman"/>
                <w:color w:val="000000"/>
                <w:sz w:val="19"/>
                <w:szCs w:val="19"/>
              </w:rPr>
              <w:t>469 832</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sz w:val="20"/>
                <w:szCs w:val="20"/>
              </w:rPr>
            </w:pPr>
            <w:r w:rsidRPr="00761BB7">
              <w:rPr>
                <w:rFonts w:ascii="Times New Roman" w:hAnsi="Times New Roman" w:cs="Times New Roman"/>
                <w:color w:val="000000"/>
                <w:sz w:val="19"/>
                <w:szCs w:val="19"/>
              </w:rPr>
              <w:t>554 752</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sz w:val="20"/>
                <w:szCs w:val="20"/>
              </w:rPr>
            </w:pPr>
            <w:r w:rsidRPr="00761BB7">
              <w:rPr>
                <w:rFonts w:ascii="Times New Roman" w:hAnsi="Times New Roman" w:cs="Times New Roman"/>
                <w:color w:val="000000"/>
                <w:sz w:val="19"/>
                <w:szCs w:val="19"/>
              </w:rPr>
              <w:t>384 912</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sz w:val="20"/>
                <w:szCs w:val="20"/>
              </w:rPr>
            </w:pPr>
            <w:r w:rsidRPr="00761BB7">
              <w:rPr>
                <w:rFonts w:ascii="Times New Roman" w:hAnsi="Times New Roman" w:cs="Times New Roman"/>
                <w:color w:val="000000"/>
                <w:sz w:val="19"/>
                <w:szCs w:val="19"/>
              </w:rPr>
              <w:t>469 832</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sz w:val="20"/>
                <w:szCs w:val="20"/>
              </w:rPr>
            </w:pPr>
            <w:r w:rsidRPr="00761BB7">
              <w:rPr>
                <w:rFonts w:ascii="Times New Roman" w:hAnsi="Times New Roman" w:cs="Times New Roman"/>
                <w:color w:val="000000"/>
                <w:sz w:val="19"/>
                <w:szCs w:val="19"/>
              </w:rPr>
              <w:t>554 752</w:t>
            </w:r>
          </w:p>
        </w:tc>
      </w:tr>
      <w:tr w:rsidR="00FB17F2" w:rsidRPr="00CA6AE8" w:rsidTr="00A16FA9">
        <w:trPr>
          <w:jc w:val="center"/>
        </w:trPr>
        <w:tc>
          <w:tcPr>
            <w:tcW w:w="0" w:type="auto"/>
            <w:tcBorders>
              <w:right w:val="single" w:sz="12" w:space="0" w:color="auto"/>
            </w:tcBorders>
            <w:shd w:val="clear" w:color="auto" w:fill="auto"/>
            <w:vAlign w:val="center"/>
          </w:tcPr>
          <w:p w:rsidR="00FB17F2" w:rsidRPr="00CA6AE8" w:rsidRDefault="00FB17F2" w:rsidP="00A16FA9">
            <w:pPr>
              <w:spacing w:after="0" w:line="240" w:lineRule="auto"/>
              <w:ind w:left="-57" w:right="-57"/>
              <w:rPr>
                <w:rFonts w:ascii="Times New Roman" w:eastAsia="Times New Roman" w:hAnsi="Times New Roman" w:cs="Times New Roman"/>
                <w:color w:val="000000"/>
                <w:sz w:val="20"/>
                <w:szCs w:val="20"/>
              </w:rPr>
            </w:pPr>
            <w:r w:rsidRPr="00761BB7">
              <w:rPr>
                <w:rFonts w:ascii="Times New Roman" w:eastAsia="Times New Roman" w:hAnsi="Times New Roman" w:cs="Times New Roman"/>
                <w:color w:val="000000"/>
                <w:sz w:val="20"/>
                <w:szCs w:val="20"/>
              </w:rPr>
              <w:t>Лихва по време на строителството</w:t>
            </w:r>
          </w:p>
        </w:tc>
        <w:tc>
          <w:tcPr>
            <w:tcW w:w="0" w:type="auto"/>
            <w:tcBorders>
              <w:left w:val="single" w:sz="12" w:space="0" w:color="auto"/>
            </w:tcBorders>
            <w:shd w:val="clear" w:color="auto" w:fill="auto"/>
            <w:vAlign w:val="center"/>
          </w:tcPr>
          <w:p w:rsidR="00FB17F2" w:rsidRPr="00CA6AE8" w:rsidRDefault="00FB17F2" w:rsidP="00A16FA9">
            <w:pPr>
              <w:spacing w:after="0" w:line="240" w:lineRule="auto"/>
              <w:ind w:left="-57" w:right="-57"/>
              <w:jc w:val="center"/>
              <w:rPr>
                <w:rFonts w:ascii="Times New Roman" w:hAnsi="Times New Roman" w:cs="Times New Roman"/>
                <w:color w:val="000000"/>
                <w:sz w:val="20"/>
                <w:szCs w:val="20"/>
              </w:rPr>
            </w:pPr>
            <w:r w:rsidRPr="00CA6AE8">
              <w:rPr>
                <w:rFonts w:ascii="Times New Roman" w:hAnsi="Times New Roman" w:cs="Times New Roman"/>
                <w:color w:val="000000"/>
                <w:sz w:val="20"/>
                <w:szCs w:val="20"/>
              </w:rPr>
              <w:t>хил.евро</w:t>
            </w:r>
          </w:p>
        </w:tc>
        <w:tc>
          <w:tcPr>
            <w:tcW w:w="0" w:type="auto"/>
            <w:shd w:val="clear" w:color="auto" w:fill="auto"/>
            <w:vAlign w:val="center"/>
          </w:tcPr>
          <w:p w:rsidR="00FB17F2" w:rsidRPr="00767DAB" w:rsidRDefault="00FB17F2" w:rsidP="00A16FA9">
            <w:pPr>
              <w:spacing w:after="0" w:line="240" w:lineRule="auto"/>
              <w:ind w:left="-57" w:right="-57"/>
              <w:jc w:val="right"/>
              <w:rPr>
                <w:rFonts w:ascii="Times New Roman" w:hAnsi="Times New Roman" w:cs="Times New Roman"/>
                <w:color w:val="000000"/>
                <w:sz w:val="20"/>
                <w:szCs w:val="20"/>
              </w:rPr>
            </w:pPr>
            <w:r w:rsidRPr="00DB1A1E">
              <w:rPr>
                <w:rFonts w:ascii="Times New Roman" w:hAnsi="Times New Roman" w:cs="Times New Roman"/>
                <w:color w:val="000000"/>
                <w:sz w:val="19"/>
                <w:szCs w:val="19"/>
              </w:rPr>
              <w:t>892 394</w:t>
            </w:r>
          </w:p>
        </w:tc>
        <w:tc>
          <w:tcPr>
            <w:tcW w:w="0" w:type="auto"/>
            <w:shd w:val="clear" w:color="auto" w:fill="auto"/>
            <w:vAlign w:val="center"/>
          </w:tcPr>
          <w:p w:rsidR="00FB17F2" w:rsidRPr="00767DAB" w:rsidRDefault="00FB17F2" w:rsidP="00A16FA9">
            <w:pPr>
              <w:spacing w:after="0" w:line="240" w:lineRule="auto"/>
              <w:ind w:left="-57" w:right="-57"/>
              <w:jc w:val="right"/>
              <w:rPr>
                <w:rFonts w:ascii="Times New Roman" w:hAnsi="Times New Roman" w:cs="Times New Roman"/>
                <w:color w:val="000000"/>
                <w:sz w:val="20"/>
                <w:szCs w:val="20"/>
              </w:rPr>
            </w:pPr>
            <w:r w:rsidRPr="00DB1A1E">
              <w:rPr>
                <w:rFonts w:ascii="Times New Roman" w:hAnsi="Times New Roman" w:cs="Times New Roman"/>
                <w:color w:val="000000"/>
                <w:sz w:val="19"/>
                <w:szCs w:val="19"/>
              </w:rPr>
              <w:t>1 040 817</w:t>
            </w:r>
          </w:p>
        </w:tc>
        <w:tc>
          <w:tcPr>
            <w:tcW w:w="0" w:type="auto"/>
            <w:shd w:val="clear" w:color="auto" w:fill="auto"/>
            <w:vAlign w:val="center"/>
          </w:tcPr>
          <w:p w:rsidR="00FB17F2" w:rsidRPr="00767DAB" w:rsidRDefault="00FB17F2" w:rsidP="00A16FA9">
            <w:pPr>
              <w:spacing w:after="0" w:line="240" w:lineRule="auto"/>
              <w:ind w:left="-57" w:right="-57"/>
              <w:jc w:val="right"/>
              <w:rPr>
                <w:rFonts w:ascii="Times New Roman" w:hAnsi="Times New Roman" w:cs="Times New Roman"/>
                <w:color w:val="000000"/>
                <w:sz w:val="20"/>
                <w:szCs w:val="20"/>
              </w:rPr>
            </w:pPr>
            <w:r w:rsidRPr="00DB1A1E">
              <w:rPr>
                <w:rFonts w:ascii="Times New Roman" w:hAnsi="Times New Roman" w:cs="Times New Roman"/>
                <w:color w:val="000000"/>
                <w:sz w:val="19"/>
                <w:szCs w:val="19"/>
              </w:rPr>
              <w:t>1 189 241</w:t>
            </w:r>
          </w:p>
        </w:tc>
        <w:tc>
          <w:tcPr>
            <w:tcW w:w="0" w:type="auto"/>
            <w:shd w:val="clear" w:color="auto" w:fill="auto"/>
            <w:vAlign w:val="center"/>
          </w:tcPr>
          <w:p w:rsidR="00FB17F2" w:rsidRPr="00767DAB" w:rsidRDefault="00FB17F2" w:rsidP="00A16FA9">
            <w:pPr>
              <w:spacing w:after="0" w:line="240" w:lineRule="auto"/>
              <w:ind w:left="-57" w:right="-57"/>
              <w:jc w:val="right"/>
              <w:rPr>
                <w:rFonts w:ascii="Times New Roman" w:hAnsi="Times New Roman" w:cs="Times New Roman"/>
                <w:color w:val="000000"/>
                <w:sz w:val="20"/>
                <w:szCs w:val="20"/>
              </w:rPr>
            </w:pPr>
            <w:r w:rsidRPr="00DB1A1E">
              <w:rPr>
                <w:rFonts w:ascii="Times New Roman" w:hAnsi="Times New Roman" w:cs="Times New Roman"/>
                <w:color w:val="000000"/>
                <w:sz w:val="19"/>
                <w:szCs w:val="19"/>
              </w:rPr>
              <w:t>892 394</w:t>
            </w:r>
          </w:p>
        </w:tc>
        <w:tc>
          <w:tcPr>
            <w:tcW w:w="0" w:type="auto"/>
            <w:shd w:val="clear" w:color="auto" w:fill="auto"/>
            <w:vAlign w:val="center"/>
          </w:tcPr>
          <w:p w:rsidR="00FB17F2" w:rsidRPr="00767DAB" w:rsidRDefault="00FB17F2" w:rsidP="00A16FA9">
            <w:pPr>
              <w:spacing w:after="0" w:line="240" w:lineRule="auto"/>
              <w:ind w:left="-57" w:right="-57"/>
              <w:jc w:val="right"/>
              <w:rPr>
                <w:rFonts w:ascii="Times New Roman" w:hAnsi="Times New Roman" w:cs="Times New Roman"/>
                <w:color w:val="000000"/>
                <w:sz w:val="20"/>
                <w:szCs w:val="20"/>
              </w:rPr>
            </w:pPr>
            <w:r w:rsidRPr="00DB1A1E">
              <w:rPr>
                <w:rFonts w:ascii="Times New Roman" w:hAnsi="Times New Roman" w:cs="Times New Roman"/>
                <w:color w:val="000000"/>
                <w:sz w:val="19"/>
                <w:szCs w:val="19"/>
              </w:rPr>
              <w:t>1 040 817</w:t>
            </w:r>
          </w:p>
        </w:tc>
        <w:tc>
          <w:tcPr>
            <w:tcW w:w="0" w:type="auto"/>
            <w:shd w:val="clear" w:color="auto" w:fill="auto"/>
            <w:vAlign w:val="center"/>
          </w:tcPr>
          <w:p w:rsidR="00FB17F2" w:rsidRPr="00767DAB" w:rsidRDefault="00FB17F2" w:rsidP="00A16FA9">
            <w:pPr>
              <w:spacing w:after="0" w:line="240" w:lineRule="auto"/>
              <w:ind w:left="-57" w:right="-57"/>
              <w:jc w:val="right"/>
              <w:rPr>
                <w:rFonts w:ascii="Times New Roman" w:hAnsi="Times New Roman" w:cs="Times New Roman"/>
                <w:color w:val="000000"/>
                <w:sz w:val="20"/>
                <w:szCs w:val="20"/>
              </w:rPr>
            </w:pPr>
            <w:r w:rsidRPr="00DB1A1E">
              <w:rPr>
                <w:rFonts w:ascii="Times New Roman" w:hAnsi="Times New Roman" w:cs="Times New Roman"/>
                <w:color w:val="000000"/>
                <w:sz w:val="19"/>
                <w:szCs w:val="19"/>
              </w:rPr>
              <w:t>1 189 241</w:t>
            </w:r>
          </w:p>
        </w:tc>
      </w:tr>
      <w:tr w:rsidR="00FB17F2" w:rsidRPr="00CA6AE8" w:rsidTr="00A16FA9">
        <w:trPr>
          <w:jc w:val="center"/>
        </w:trPr>
        <w:tc>
          <w:tcPr>
            <w:tcW w:w="0" w:type="auto"/>
            <w:tcBorders>
              <w:right w:val="single" w:sz="12" w:space="0" w:color="auto"/>
            </w:tcBorders>
            <w:shd w:val="clear" w:color="auto" w:fill="auto"/>
            <w:vAlign w:val="center"/>
          </w:tcPr>
          <w:p w:rsidR="00FB17F2" w:rsidRPr="00CA6AE8" w:rsidRDefault="00FB17F2" w:rsidP="00A16FA9">
            <w:pPr>
              <w:spacing w:after="0" w:line="240" w:lineRule="auto"/>
              <w:ind w:left="-57" w:right="-57"/>
              <w:rPr>
                <w:rFonts w:ascii="Times New Roman" w:eastAsia="Times New Roman" w:hAnsi="Times New Roman" w:cs="Times New Roman"/>
                <w:color w:val="000000"/>
                <w:sz w:val="20"/>
                <w:szCs w:val="20"/>
              </w:rPr>
            </w:pPr>
            <w:r w:rsidRPr="00761BB7">
              <w:rPr>
                <w:rFonts w:ascii="Times New Roman" w:eastAsia="Times New Roman" w:hAnsi="Times New Roman" w:cs="Times New Roman"/>
                <w:color w:val="000000"/>
                <w:sz w:val="20"/>
                <w:szCs w:val="20"/>
              </w:rPr>
              <w:t>Лихви по време на експлоатацията</w:t>
            </w:r>
          </w:p>
        </w:tc>
        <w:tc>
          <w:tcPr>
            <w:tcW w:w="0" w:type="auto"/>
            <w:tcBorders>
              <w:left w:val="single" w:sz="12" w:space="0" w:color="auto"/>
            </w:tcBorders>
            <w:shd w:val="clear" w:color="auto" w:fill="auto"/>
            <w:vAlign w:val="center"/>
          </w:tcPr>
          <w:p w:rsidR="00FB17F2" w:rsidRPr="00CA6AE8" w:rsidRDefault="00FB17F2" w:rsidP="00A16FA9">
            <w:pPr>
              <w:spacing w:after="0" w:line="240" w:lineRule="auto"/>
              <w:ind w:left="-57" w:right="-57"/>
              <w:jc w:val="center"/>
              <w:rPr>
                <w:rFonts w:ascii="Times New Roman" w:hAnsi="Times New Roman" w:cs="Times New Roman"/>
                <w:color w:val="000000"/>
                <w:sz w:val="20"/>
                <w:szCs w:val="20"/>
              </w:rPr>
            </w:pPr>
            <w:r w:rsidRPr="00CA6AE8">
              <w:rPr>
                <w:rFonts w:ascii="Times New Roman" w:hAnsi="Times New Roman" w:cs="Times New Roman"/>
                <w:color w:val="000000"/>
                <w:sz w:val="20"/>
                <w:szCs w:val="20"/>
              </w:rPr>
              <w:t>хил.евро</w:t>
            </w:r>
          </w:p>
        </w:tc>
        <w:tc>
          <w:tcPr>
            <w:tcW w:w="0" w:type="auto"/>
            <w:shd w:val="clear" w:color="auto" w:fill="auto"/>
            <w:vAlign w:val="center"/>
          </w:tcPr>
          <w:p w:rsidR="00FB17F2" w:rsidRPr="00767DAB" w:rsidRDefault="00FB17F2" w:rsidP="00A16FA9">
            <w:pPr>
              <w:spacing w:after="0" w:line="240" w:lineRule="auto"/>
              <w:ind w:left="-57" w:right="-57"/>
              <w:jc w:val="right"/>
              <w:rPr>
                <w:rFonts w:ascii="Times New Roman" w:hAnsi="Times New Roman" w:cs="Times New Roman"/>
                <w:color w:val="000000"/>
                <w:sz w:val="20"/>
                <w:szCs w:val="20"/>
              </w:rPr>
            </w:pPr>
            <w:r w:rsidRPr="00DB1A1E">
              <w:rPr>
                <w:rFonts w:ascii="Times New Roman" w:hAnsi="Times New Roman" w:cs="Times New Roman"/>
                <w:color w:val="000000"/>
                <w:sz w:val="19"/>
                <w:szCs w:val="19"/>
              </w:rPr>
              <w:t>3 640 637</w:t>
            </w:r>
          </w:p>
        </w:tc>
        <w:tc>
          <w:tcPr>
            <w:tcW w:w="0" w:type="auto"/>
            <w:shd w:val="clear" w:color="auto" w:fill="auto"/>
            <w:vAlign w:val="center"/>
          </w:tcPr>
          <w:p w:rsidR="00FB17F2" w:rsidRPr="00767DAB" w:rsidRDefault="00FB17F2" w:rsidP="00A16FA9">
            <w:pPr>
              <w:spacing w:after="0" w:line="240" w:lineRule="auto"/>
              <w:ind w:left="-57" w:right="-57"/>
              <w:jc w:val="right"/>
              <w:rPr>
                <w:rFonts w:ascii="Times New Roman" w:hAnsi="Times New Roman" w:cs="Times New Roman"/>
                <w:color w:val="000000"/>
                <w:sz w:val="20"/>
                <w:szCs w:val="20"/>
              </w:rPr>
            </w:pPr>
            <w:r w:rsidRPr="00DB1A1E">
              <w:rPr>
                <w:rFonts w:ascii="Times New Roman" w:hAnsi="Times New Roman" w:cs="Times New Roman"/>
                <w:color w:val="000000"/>
                <w:sz w:val="19"/>
                <w:szCs w:val="19"/>
              </w:rPr>
              <w:t>4 356 697</w:t>
            </w:r>
          </w:p>
        </w:tc>
        <w:tc>
          <w:tcPr>
            <w:tcW w:w="0" w:type="auto"/>
            <w:shd w:val="clear" w:color="auto" w:fill="auto"/>
            <w:vAlign w:val="center"/>
          </w:tcPr>
          <w:p w:rsidR="00FB17F2" w:rsidRPr="00767DAB" w:rsidRDefault="00FB17F2" w:rsidP="00A16FA9">
            <w:pPr>
              <w:spacing w:after="0" w:line="240" w:lineRule="auto"/>
              <w:ind w:left="-57" w:right="-57"/>
              <w:jc w:val="right"/>
              <w:rPr>
                <w:rFonts w:ascii="Times New Roman" w:hAnsi="Times New Roman" w:cs="Times New Roman"/>
                <w:color w:val="000000"/>
                <w:sz w:val="20"/>
                <w:szCs w:val="20"/>
              </w:rPr>
            </w:pPr>
            <w:r w:rsidRPr="00DB1A1E">
              <w:rPr>
                <w:rFonts w:ascii="Times New Roman" w:hAnsi="Times New Roman" w:cs="Times New Roman"/>
                <w:color w:val="000000"/>
                <w:sz w:val="19"/>
                <w:szCs w:val="19"/>
              </w:rPr>
              <w:t>5 072 758</w:t>
            </w:r>
          </w:p>
        </w:tc>
        <w:tc>
          <w:tcPr>
            <w:tcW w:w="0" w:type="auto"/>
            <w:shd w:val="clear" w:color="auto" w:fill="auto"/>
            <w:vAlign w:val="center"/>
          </w:tcPr>
          <w:p w:rsidR="00FB17F2" w:rsidRPr="00767DAB" w:rsidRDefault="00FB17F2" w:rsidP="00A16FA9">
            <w:pPr>
              <w:spacing w:after="0" w:line="240" w:lineRule="auto"/>
              <w:ind w:left="-57" w:right="-57"/>
              <w:jc w:val="right"/>
              <w:rPr>
                <w:rFonts w:ascii="Times New Roman" w:hAnsi="Times New Roman" w:cs="Times New Roman"/>
                <w:color w:val="000000"/>
                <w:sz w:val="20"/>
                <w:szCs w:val="20"/>
              </w:rPr>
            </w:pPr>
            <w:r w:rsidRPr="00DB1A1E">
              <w:rPr>
                <w:rFonts w:ascii="Times New Roman" w:hAnsi="Times New Roman" w:cs="Times New Roman"/>
                <w:color w:val="000000"/>
                <w:sz w:val="19"/>
                <w:szCs w:val="19"/>
              </w:rPr>
              <w:t>3 640 637</w:t>
            </w:r>
          </w:p>
        </w:tc>
        <w:tc>
          <w:tcPr>
            <w:tcW w:w="0" w:type="auto"/>
            <w:shd w:val="clear" w:color="auto" w:fill="auto"/>
            <w:vAlign w:val="center"/>
          </w:tcPr>
          <w:p w:rsidR="00FB17F2" w:rsidRPr="00767DAB" w:rsidRDefault="00FB17F2" w:rsidP="00A16FA9">
            <w:pPr>
              <w:spacing w:after="0" w:line="240" w:lineRule="auto"/>
              <w:ind w:left="-57" w:right="-57"/>
              <w:jc w:val="right"/>
              <w:rPr>
                <w:rFonts w:ascii="Times New Roman" w:hAnsi="Times New Roman" w:cs="Times New Roman"/>
                <w:color w:val="000000"/>
                <w:sz w:val="20"/>
                <w:szCs w:val="20"/>
              </w:rPr>
            </w:pPr>
            <w:r w:rsidRPr="00DB1A1E">
              <w:rPr>
                <w:rFonts w:ascii="Times New Roman" w:hAnsi="Times New Roman" w:cs="Times New Roman"/>
                <w:color w:val="000000"/>
                <w:sz w:val="19"/>
                <w:szCs w:val="19"/>
              </w:rPr>
              <w:t>4 356 697</w:t>
            </w:r>
          </w:p>
        </w:tc>
        <w:tc>
          <w:tcPr>
            <w:tcW w:w="0" w:type="auto"/>
            <w:shd w:val="clear" w:color="auto" w:fill="auto"/>
            <w:vAlign w:val="center"/>
          </w:tcPr>
          <w:p w:rsidR="00FB17F2" w:rsidRPr="00767DAB" w:rsidRDefault="00FB17F2" w:rsidP="00A16FA9">
            <w:pPr>
              <w:spacing w:after="0" w:line="240" w:lineRule="auto"/>
              <w:ind w:left="-57" w:right="-57"/>
              <w:jc w:val="right"/>
              <w:rPr>
                <w:rFonts w:ascii="Times New Roman" w:hAnsi="Times New Roman" w:cs="Times New Roman"/>
                <w:color w:val="000000"/>
                <w:sz w:val="20"/>
                <w:szCs w:val="20"/>
              </w:rPr>
            </w:pPr>
            <w:r w:rsidRPr="00DB1A1E">
              <w:rPr>
                <w:rFonts w:ascii="Times New Roman" w:hAnsi="Times New Roman" w:cs="Times New Roman"/>
                <w:color w:val="000000"/>
                <w:sz w:val="19"/>
                <w:szCs w:val="19"/>
              </w:rPr>
              <w:t>5 072 758</w:t>
            </w:r>
          </w:p>
        </w:tc>
      </w:tr>
      <w:tr w:rsidR="00FB17F2" w:rsidRPr="00CA6AE8" w:rsidTr="00A16FA9">
        <w:trPr>
          <w:jc w:val="center"/>
        </w:trPr>
        <w:tc>
          <w:tcPr>
            <w:tcW w:w="0" w:type="auto"/>
            <w:tcBorders>
              <w:right w:val="single" w:sz="12" w:space="0" w:color="auto"/>
            </w:tcBorders>
            <w:shd w:val="clear" w:color="auto" w:fill="auto"/>
            <w:vAlign w:val="center"/>
          </w:tcPr>
          <w:p w:rsidR="00FB17F2" w:rsidRPr="00CA6AE8" w:rsidRDefault="00FB17F2" w:rsidP="00A16FA9">
            <w:pPr>
              <w:spacing w:after="0" w:line="240" w:lineRule="auto"/>
              <w:ind w:left="-57" w:right="-57"/>
              <w:rPr>
                <w:rFonts w:ascii="Times New Roman" w:eastAsia="Times New Roman" w:hAnsi="Times New Roman" w:cs="Times New Roman"/>
                <w:color w:val="000000"/>
                <w:sz w:val="20"/>
                <w:szCs w:val="20"/>
              </w:rPr>
            </w:pPr>
            <w:r w:rsidRPr="00761BB7">
              <w:rPr>
                <w:rFonts w:ascii="Times New Roman" w:eastAsia="Times New Roman" w:hAnsi="Times New Roman" w:cs="Times New Roman"/>
                <w:color w:val="000000"/>
                <w:sz w:val="20"/>
                <w:szCs w:val="20"/>
              </w:rPr>
              <w:t>Погасяване на главницата</w:t>
            </w:r>
          </w:p>
        </w:tc>
        <w:tc>
          <w:tcPr>
            <w:tcW w:w="0" w:type="auto"/>
            <w:tcBorders>
              <w:left w:val="single" w:sz="12" w:space="0" w:color="auto"/>
            </w:tcBorders>
            <w:shd w:val="clear" w:color="auto" w:fill="auto"/>
            <w:vAlign w:val="center"/>
          </w:tcPr>
          <w:p w:rsidR="00FB17F2" w:rsidRPr="00CA6AE8" w:rsidRDefault="00FB17F2" w:rsidP="00A16FA9">
            <w:pPr>
              <w:spacing w:after="0" w:line="240" w:lineRule="auto"/>
              <w:ind w:left="-57" w:right="-57"/>
              <w:jc w:val="center"/>
              <w:rPr>
                <w:rFonts w:ascii="Times New Roman" w:hAnsi="Times New Roman" w:cs="Times New Roman"/>
                <w:color w:val="000000"/>
                <w:sz w:val="20"/>
                <w:szCs w:val="20"/>
              </w:rPr>
            </w:pPr>
            <w:r w:rsidRPr="00CA6AE8">
              <w:rPr>
                <w:rFonts w:ascii="Times New Roman" w:hAnsi="Times New Roman" w:cs="Times New Roman"/>
                <w:color w:val="000000"/>
                <w:sz w:val="20"/>
                <w:szCs w:val="20"/>
              </w:rPr>
              <w:t>хил.евро</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color w:val="000000"/>
                <w:sz w:val="20"/>
                <w:szCs w:val="20"/>
              </w:rPr>
            </w:pPr>
            <w:r w:rsidRPr="00761BB7">
              <w:rPr>
                <w:rFonts w:ascii="Times New Roman" w:hAnsi="Times New Roman" w:cs="Times New Roman"/>
                <w:color w:val="000000"/>
                <w:sz w:val="19"/>
                <w:szCs w:val="19"/>
              </w:rPr>
              <w:t>6 672 722</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color w:val="000000"/>
                <w:sz w:val="20"/>
                <w:szCs w:val="20"/>
              </w:rPr>
            </w:pPr>
            <w:r w:rsidRPr="00761BB7">
              <w:rPr>
                <w:rFonts w:ascii="Times New Roman" w:hAnsi="Times New Roman" w:cs="Times New Roman"/>
                <w:color w:val="000000"/>
                <w:sz w:val="19"/>
                <w:szCs w:val="19"/>
              </w:rPr>
              <w:t>7 985 149</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color w:val="000000"/>
                <w:sz w:val="20"/>
                <w:szCs w:val="20"/>
              </w:rPr>
            </w:pPr>
            <w:r w:rsidRPr="00761BB7">
              <w:rPr>
                <w:rFonts w:ascii="Times New Roman" w:hAnsi="Times New Roman" w:cs="Times New Roman"/>
                <w:color w:val="000000"/>
                <w:sz w:val="19"/>
                <w:szCs w:val="19"/>
              </w:rPr>
              <w:t>9 297 576</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color w:val="000000"/>
                <w:sz w:val="20"/>
                <w:szCs w:val="20"/>
              </w:rPr>
            </w:pPr>
            <w:r w:rsidRPr="00761BB7">
              <w:rPr>
                <w:rFonts w:ascii="Times New Roman" w:hAnsi="Times New Roman" w:cs="Times New Roman"/>
                <w:color w:val="000000"/>
                <w:sz w:val="19"/>
                <w:szCs w:val="19"/>
              </w:rPr>
              <w:t>6 672 722</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color w:val="000000"/>
                <w:sz w:val="20"/>
                <w:szCs w:val="20"/>
              </w:rPr>
            </w:pPr>
            <w:r w:rsidRPr="00761BB7">
              <w:rPr>
                <w:rFonts w:ascii="Times New Roman" w:hAnsi="Times New Roman" w:cs="Times New Roman"/>
                <w:color w:val="000000"/>
                <w:sz w:val="19"/>
                <w:szCs w:val="19"/>
              </w:rPr>
              <w:t>7 985 149</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color w:val="000000"/>
                <w:sz w:val="20"/>
                <w:szCs w:val="20"/>
              </w:rPr>
            </w:pPr>
            <w:r w:rsidRPr="00761BB7">
              <w:rPr>
                <w:rFonts w:ascii="Times New Roman" w:hAnsi="Times New Roman" w:cs="Times New Roman"/>
                <w:color w:val="000000"/>
                <w:sz w:val="19"/>
                <w:szCs w:val="19"/>
              </w:rPr>
              <w:t>9 297 576</w:t>
            </w:r>
          </w:p>
        </w:tc>
      </w:tr>
      <w:tr w:rsidR="00FB17F2" w:rsidRPr="00CA6AE8" w:rsidTr="00A16FA9">
        <w:trPr>
          <w:jc w:val="center"/>
        </w:trPr>
        <w:tc>
          <w:tcPr>
            <w:tcW w:w="0" w:type="auto"/>
            <w:tcBorders>
              <w:bottom w:val="single" w:sz="12" w:space="0" w:color="auto"/>
              <w:right w:val="single" w:sz="12" w:space="0" w:color="auto"/>
            </w:tcBorders>
            <w:shd w:val="clear" w:color="auto" w:fill="auto"/>
            <w:vAlign w:val="center"/>
          </w:tcPr>
          <w:p w:rsidR="00FB17F2" w:rsidRPr="00CA6AE8" w:rsidRDefault="00FB17F2" w:rsidP="00A16FA9">
            <w:pPr>
              <w:spacing w:after="0" w:line="240" w:lineRule="auto"/>
              <w:ind w:left="-57" w:right="-57"/>
              <w:rPr>
                <w:rFonts w:ascii="Times New Roman" w:eastAsia="Times New Roman" w:hAnsi="Times New Roman" w:cs="Times New Roman"/>
                <w:b/>
                <w:bCs/>
                <w:sz w:val="20"/>
                <w:szCs w:val="20"/>
              </w:rPr>
            </w:pPr>
            <w:r w:rsidRPr="00761BB7">
              <w:rPr>
                <w:rFonts w:ascii="Times New Roman" w:eastAsia="Times New Roman" w:hAnsi="Times New Roman" w:cs="Times New Roman"/>
                <w:b/>
                <w:color w:val="000000"/>
                <w:sz w:val="20"/>
                <w:szCs w:val="20"/>
              </w:rPr>
              <w:t>Обща стойност на инвестицията</w:t>
            </w:r>
          </w:p>
        </w:tc>
        <w:tc>
          <w:tcPr>
            <w:tcW w:w="0" w:type="auto"/>
            <w:tcBorders>
              <w:left w:val="single" w:sz="12" w:space="0" w:color="auto"/>
            </w:tcBorders>
            <w:shd w:val="clear" w:color="auto" w:fill="auto"/>
            <w:vAlign w:val="center"/>
          </w:tcPr>
          <w:p w:rsidR="00FB17F2" w:rsidRPr="00CA6AE8" w:rsidRDefault="00FB17F2" w:rsidP="00A16FA9">
            <w:pPr>
              <w:spacing w:after="0" w:line="240" w:lineRule="auto"/>
              <w:ind w:left="-57" w:right="-57"/>
              <w:jc w:val="center"/>
              <w:rPr>
                <w:rFonts w:ascii="Times New Roman" w:hAnsi="Times New Roman" w:cs="Times New Roman"/>
                <w:color w:val="000000"/>
                <w:sz w:val="20"/>
                <w:szCs w:val="20"/>
              </w:rPr>
            </w:pPr>
            <w:r w:rsidRPr="00CA6AE8">
              <w:rPr>
                <w:rFonts w:ascii="Times New Roman" w:hAnsi="Times New Roman" w:cs="Times New Roman"/>
                <w:color w:val="000000"/>
                <w:sz w:val="20"/>
                <w:szCs w:val="20"/>
              </w:rPr>
              <w:t>хил.евро</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b/>
                <w:color w:val="000000"/>
                <w:sz w:val="20"/>
                <w:szCs w:val="20"/>
              </w:rPr>
            </w:pPr>
            <w:r w:rsidRPr="00761BB7">
              <w:rPr>
                <w:rFonts w:ascii="Times New Roman" w:hAnsi="Times New Roman" w:cs="Times New Roman"/>
                <w:b/>
                <w:color w:val="000000"/>
                <w:sz w:val="19"/>
                <w:szCs w:val="19"/>
              </w:rPr>
              <w:t>11 936 543</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b/>
                <w:color w:val="000000"/>
                <w:sz w:val="20"/>
                <w:szCs w:val="20"/>
              </w:rPr>
            </w:pPr>
            <w:r w:rsidRPr="00761BB7">
              <w:rPr>
                <w:rFonts w:ascii="Times New Roman" w:hAnsi="Times New Roman" w:cs="Times New Roman"/>
                <w:b/>
                <w:color w:val="000000"/>
                <w:sz w:val="19"/>
                <w:szCs w:val="19"/>
              </w:rPr>
              <w:t>12 196 206</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b/>
                <w:color w:val="000000"/>
                <w:sz w:val="20"/>
                <w:szCs w:val="20"/>
              </w:rPr>
            </w:pPr>
            <w:r w:rsidRPr="00761BB7">
              <w:rPr>
                <w:rFonts w:ascii="Times New Roman" w:hAnsi="Times New Roman" w:cs="Times New Roman"/>
                <w:b/>
                <w:color w:val="000000"/>
                <w:sz w:val="19"/>
                <w:szCs w:val="19"/>
              </w:rPr>
              <w:t>12 455 869</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b/>
                <w:color w:val="000000"/>
                <w:sz w:val="20"/>
                <w:szCs w:val="20"/>
              </w:rPr>
            </w:pPr>
            <w:r w:rsidRPr="00761BB7">
              <w:rPr>
                <w:rFonts w:ascii="Times New Roman" w:hAnsi="Times New Roman" w:cs="Times New Roman"/>
                <w:b/>
                <w:color w:val="000000"/>
                <w:sz w:val="19"/>
                <w:szCs w:val="19"/>
              </w:rPr>
              <w:t>11 936 543</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b/>
                <w:color w:val="000000"/>
                <w:sz w:val="20"/>
                <w:szCs w:val="20"/>
              </w:rPr>
            </w:pPr>
            <w:r w:rsidRPr="00761BB7">
              <w:rPr>
                <w:rFonts w:ascii="Times New Roman" w:hAnsi="Times New Roman" w:cs="Times New Roman"/>
                <w:b/>
                <w:color w:val="000000"/>
                <w:sz w:val="19"/>
                <w:szCs w:val="19"/>
              </w:rPr>
              <w:t>12 196 206</w:t>
            </w:r>
          </w:p>
        </w:tc>
        <w:tc>
          <w:tcPr>
            <w:tcW w:w="0" w:type="auto"/>
            <w:shd w:val="clear" w:color="auto" w:fill="auto"/>
            <w:vAlign w:val="center"/>
          </w:tcPr>
          <w:p w:rsidR="00FB17F2" w:rsidRPr="00CA6AE8" w:rsidRDefault="00FB17F2" w:rsidP="00A16FA9">
            <w:pPr>
              <w:spacing w:after="0" w:line="240" w:lineRule="auto"/>
              <w:ind w:left="-57" w:right="-57"/>
              <w:jc w:val="right"/>
              <w:rPr>
                <w:rFonts w:ascii="Times New Roman" w:hAnsi="Times New Roman" w:cs="Times New Roman"/>
                <w:b/>
                <w:color w:val="000000"/>
                <w:sz w:val="20"/>
                <w:szCs w:val="20"/>
              </w:rPr>
            </w:pPr>
            <w:r w:rsidRPr="00761BB7">
              <w:rPr>
                <w:rFonts w:ascii="Times New Roman" w:hAnsi="Times New Roman" w:cs="Times New Roman"/>
                <w:b/>
                <w:color w:val="000000"/>
                <w:sz w:val="19"/>
                <w:szCs w:val="19"/>
              </w:rPr>
              <w:t>12 455 869</w:t>
            </w:r>
          </w:p>
        </w:tc>
      </w:tr>
    </w:tbl>
    <w:p w:rsidR="00950BDF" w:rsidRPr="00CA6AE8" w:rsidRDefault="00950BDF" w:rsidP="00E44C19">
      <w:pPr>
        <w:spacing w:before="120" w:after="120" w:line="240" w:lineRule="auto"/>
        <w:jc w:val="center"/>
        <w:rPr>
          <w:rFonts w:ascii="Times New Roman" w:hAnsi="Times New Roman" w:cs="Times New Roman"/>
          <w:sz w:val="20"/>
          <w:szCs w:val="24"/>
        </w:rPr>
      </w:pPr>
      <w:r w:rsidRPr="00CA6AE8">
        <w:rPr>
          <w:rFonts w:ascii="Times New Roman" w:hAnsi="Times New Roman" w:cs="Times New Roman"/>
          <w:sz w:val="20"/>
          <w:szCs w:val="24"/>
        </w:rPr>
        <w:t>Източник: Съставена от авторите на основа на получени резултати от модела.</w:t>
      </w:r>
    </w:p>
    <w:p w:rsidR="00950BDF" w:rsidRDefault="00950BDF" w:rsidP="00E44C19">
      <w:pPr>
        <w:spacing w:before="120" w:after="120" w:line="240" w:lineRule="auto"/>
        <w:rPr>
          <w:rFonts w:ascii="Times New Roman" w:hAnsi="Times New Roman" w:cs="Times New Roman"/>
          <w:sz w:val="24"/>
          <w:szCs w:val="24"/>
        </w:rPr>
      </w:pPr>
    </w:p>
    <w:p w:rsidR="00FB17F2" w:rsidRPr="00950BDF" w:rsidRDefault="00FB17F2" w:rsidP="00FB17F2">
      <w:pPr>
        <w:spacing w:before="120" w:after="120" w:line="240" w:lineRule="auto"/>
        <w:jc w:val="both"/>
        <w:rPr>
          <w:rFonts w:ascii="Times New Roman" w:hAnsi="Times New Roman" w:cs="Times New Roman"/>
          <w:sz w:val="24"/>
          <w:szCs w:val="24"/>
        </w:rPr>
      </w:pPr>
      <w:r w:rsidRPr="00DB1A1E">
        <w:rPr>
          <w:rFonts w:ascii="Times New Roman" w:hAnsi="Times New Roman" w:cs="Times New Roman"/>
          <w:sz w:val="24"/>
          <w:szCs w:val="24"/>
        </w:rPr>
        <w:t>Както е посочено по-горе, лихвите по време на строителството, първоначалната такса и таксата ангажимент върху неусвоената сума след стартирането на експлоатацията на електроцентралата се оформят като допълнителен заем към заема за финансиране на проекта, като този заем се погасява при същите условия, както и инвестиционния заем. В тази връзка погашенията по главницата и лихвите по време на експлоатацията за всички варианти в Таблица V.1</w:t>
      </w:r>
      <w:r w:rsidR="00640C86" w:rsidRPr="00DB1A1E">
        <w:rPr>
          <w:rFonts w:ascii="Times New Roman" w:hAnsi="Times New Roman" w:cs="Times New Roman"/>
          <w:sz w:val="24"/>
          <w:szCs w:val="24"/>
        </w:rPr>
        <w:t>6</w:t>
      </w:r>
      <w:r w:rsidRPr="00DB1A1E">
        <w:rPr>
          <w:rFonts w:ascii="Times New Roman" w:hAnsi="Times New Roman" w:cs="Times New Roman"/>
          <w:sz w:val="24"/>
          <w:szCs w:val="24"/>
        </w:rPr>
        <w:t xml:space="preserve"> включват сумите за двата заема.</w:t>
      </w:r>
    </w:p>
    <w:p w:rsid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Разпределението само на собствения капитал в 6-те сценария е представено в</w:t>
      </w:r>
      <w:r w:rsidR="00E2036B">
        <w:rPr>
          <w:rFonts w:ascii="Times New Roman" w:hAnsi="Times New Roman" w:cs="Times New Roman"/>
          <w:sz w:val="24"/>
          <w:szCs w:val="24"/>
        </w:rPr>
        <w:t xml:space="preserve"> табл. </w:t>
      </w:r>
      <w:r w:rsidR="00E2036B" w:rsidRPr="00E44C19">
        <w:rPr>
          <w:rFonts w:ascii="Times New Roman" w:hAnsi="Times New Roman" w:cs="Times New Roman"/>
          <w:sz w:val="24"/>
          <w:szCs w:val="24"/>
          <w:lang w:val="en-US"/>
        </w:rPr>
        <w:t>V.</w:t>
      </w:r>
      <w:r w:rsidR="00E2036B">
        <w:rPr>
          <w:rFonts w:ascii="Times New Roman" w:hAnsi="Times New Roman" w:cs="Times New Roman"/>
          <w:sz w:val="24"/>
          <w:szCs w:val="24"/>
        </w:rPr>
        <w:t>1</w:t>
      </w:r>
      <w:r w:rsidR="009F1CAF">
        <w:rPr>
          <w:rFonts w:ascii="Times New Roman" w:hAnsi="Times New Roman" w:cs="Times New Roman"/>
          <w:sz w:val="24"/>
          <w:szCs w:val="24"/>
        </w:rPr>
        <w:t>7</w:t>
      </w:r>
      <w:r w:rsidRPr="00950BDF">
        <w:rPr>
          <w:rFonts w:ascii="Times New Roman" w:hAnsi="Times New Roman" w:cs="Times New Roman"/>
          <w:sz w:val="24"/>
          <w:szCs w:val="24"/>
        </w:rPr>
        <w:t>.</w:t>
      </w:r>
    </w:p>
    <w:p w:rsidR="00233DB8" w:rsidRPr="00950BDF" w:rsidRDefault="00233DB8" w:rsidP="00E44C19">
      <w:pPr>
        <w:spacing w:before="120" w:after="120" w:line="240" w:lineRule="auto"/>
        <w:jc w:val="both"/>
        <w:rPr>
          <w:rFonts w:ascii="Times New Roman" w:hAnsi="Times New Roman" w:cs="Times New Roman"/>
          <w:sz w:val="24"/>
          <w:szCs w:val="24"/>
        </w:rPr>
      </w:pPr>
    </w:p>
    <w:p w:rsidR="00950BDF" w:rsidRPr="009F1CAF" w:rsidRDefault="009F1CAF" w:rsidP="009F1CAF">
      <w:pPr>
        <w:pStyle w:val="Caption"/>
        <w:rPr>
          <w:rFonts w:ascii="Times New Roman" w:hAnsi="Times New Roman"/>
          <w:szCs w:val="24"/>
        </w:rPr>
      </w:pPr>
      <w:bookmarkStart w:id="161" w:name="_Toc491990987"/>
      <w:bookmarkStart w:id="162" w:name="_Toc491994422"/>
      <w:bookmarkStart w:id="163" w:name="_Toc493240913"/>
      <w:r w:rsidRPr="009F1CAF">
        <w:rPr>
          <w:rFonts w:hint="eastAsia"/>
        </w:rPr>
        <w:lastRenderedPageBreak/>
        <w:t>Таблица</w:t>
      </w:r>
      <w:r w:rsidRPr="009F1CAF">
        <w:t xml:space="preserve"> V.</w:t>
      </w:r>
      <w:r w:rsidR="0097530B">
        <w:fldChar w:fldCharType="begin"/>
      </w:r>
      <w:r w:rsidR="00042F89">
        <w:instrText xml:space="preserve"> SEQ Таблица_V. \* ARABIC </w:instrText>
      </w:r>
      <w:r w:rsidR="0097530B">
        <w:fldChar w:fldCharType="separate"/>
      </w:r>
      <w:r w:rsidR="00F44EBF">
        <w:rPr>
          <w:noProof/>
        </w:rPr>
        <w:t>17</w:t>
      </w:r>
      <w:r w:rsidR="0097530B">
        <w:rPr>
          <w:noProof/>
        </w:rPr>
        <w:fldChar w:fldCharType="end"/>
      </w:r>
      <w:r w:rsidRPr="009F1CAF">
        <w:rPr>
          <w:rFonts w:asciiTheme="minorHAnsi" w:hAnsiTheme="minorHAnsi"/>
        </w:rPr>
        <w:t xml:space="preserve">. </w:t>
      </w:r>
      <w:r w:rsidR="00950BDF" w:rsidRPr="009F1CAF">
        <w:rPr>
          <w:rFonts w:ascii="Times New Roman" w:hAnsi="Times New Roman"/>
          <w:szCs w:val="24"/>
        </w:rPr>
        <w:t>Разпределение на собствения капитал на АЕЦ „Белене“</w:t>
      </w:r>
      <w:bookmarkEnd w:id="161"/>
      <w:bookmarkEnd w:id="162"/>
      <w:bookmarkEnd w:id="163"/>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11"/>
        <w:gridCol w:w="843"/>
        <w:gridCol w:w="1026"/>
        <w:gridCol w:w="1026"/>
        <w:gridCol w:w="1026"/>
        <w:gridCol w:w="1026"/>
        <w:gridCol w:w="1026"/>
        <w:gridCol w:w="1026"/>
      </w:tblGrid>
      <w:tr w:rsidR="00950BDF" w:rsidRPr="00A16FA9" w:rsidTr="00A16FA9">
        <w:trPr>
          <w:tblHeader/>
          <w:jc w:val="center"/>
        </w:trPr>
        <w:tc>
          <w:tcPr>
            <w:tcW w:w="0" w:type="auto"/>
            <w:tcBorders>
              <w:top w:val="single" w:sz="12" w:space="0" w:color="auto"/>
              <w:bottom w:val="single" w:sz="12" w:space="0" w:color="auto"/>
              <w:right w:val="single" w:sz="12" w:space="0" w:color="auto"/>
            </w:tcBorders>
            <w:shd w:val="clear" w:color="auto" w:fill="D9D9D9"/>
          </w:tcPr>
          <w:p w:rsidR="00950BDF" w:rsidRPr="00A16FA9" w:rsidRDefault="00950BDF" w:rsidP="00A16FA9">
            <w:pPr>
              <w:spacing w:after="0" w:line="240" w:lineRule="auto"/>
              <w:ind w:left="-57" w:right="-57"/>
              <w:rPr>
                <w:rFonts w:ascii="Times New Roman" w:hAnsi="Times New Roman" w:cs="Times New Roman"/>
                <w:b/>
                <w:sz w:val="20"/>
                <w:szCs w:val="18"/>
              </w:rPr>
            </w:pPr>
          </w:p>
        </w:tc>
        <w:tc>
          <w:tcPr>
            <w:tcW w:w="0" w:type="auto"/>
            <w:tcBorders>
              <w:left w:val="single" w:sz="12" w:space="0" w:color="auto"/>
              <w:bottom w:val="single" w:sz="12" w:space="0" w:color="auto"/>
            </w:tcBorders>
            <w:shd w:val="clear" w:color="auto" w:fill="D9D9D9"/>
          </w:tcPr>
          <w:p w:rsidR="00950BDF" w:rsidRPr="00A16FA9" w:rsidRDefault="00950BDF" w:rsidP="00A16FA9">
            <w:pPr>
              <w:spacing w:after="0" w:line="240" w:lineRule="auto"/>
              <w:ind w:left="-57" w:right="-57"/>
              <w:rPr>
                <w:rFonts w:ascii="Times New Roman" w:hAnsi="Times New Roman" w:cs="Times New Roman"/>
                <w:b/>
                <w:sz w:val="20"/>
                <w:szCs w:val="18"/>
              </w:rPr>
            </w:pPr>
            <w:r w:rsidRPr="00A16FA9">
              <w:rPr>
                <w:rFonts w:ascii="Times New Roman" w:hAnsi="Times New Roman" w:cs="Times New Roman"/>
                <w:b/>
                <w:sz w:val="20"/>
                <w:szCs w:val="18"/>
              </w:rPr>
              <w:t>Мярка</w:t>
            </w:r>
          </w:p>
        </w:tc>
        <w:tc>
          <w:tcPr>
            <w:tcW w:w="0" w:type="auto"/>
            <w:tcBorders>
              <w:bottom w:val="single" w:sz="12" w:space="0" w:color="auto"/>
            </w:tcBorders>
            <w:shd w:val="clear" w:color="auto" w:fill="D9D9D9"/>
          </w:tcPr>
          <w:p w:rsidR="00950BDF" w:rsidRPr="00A16FA9" w:rsidRDefault="00950BDF" w:rsidP="00A16FA9">
            <w:pPr>
              <w:spacing w:after="0" w:line="240" w:lineRule="auto"/>
              <w:ind w:left="-57" w:right="-57"/>
              <w:jc w:val="center"/>
              <w:rPr>
                <w:rFonts w:ascii="Times New Roman" w:hAnsi="Times New Roman" w:cs="Times New Roman"/>
                <w:b/>
                <w:sz w:val="20"/>
                <w:szCs w:val="18"/>
              </w:rPr>
            </w:pPr>
            <w:r w:rsidRPr="00A16FA9">
              <w:rPr>
                <w:rFonts w:ascii="Times New Roman" w:hAnsi="Times New Roman" w:cs="Times New Roman"/>
                <w:b/>
                <w:sz w:val="20"/>
                <w:szCs w:val="18"/>
              </w:rPr>
              <w:t>Вариант 1</w:t>
            </w:r>
          </w:p>
        </w:tc>
        <w:tc>
          <w:tcPr>
            <w:tcW w:w="0" w:type="auto"/>
            <w:tcBorders>
              <w:bottom w:val="single" w:sz="12" w:space="0" w:color="auto"/>
            </w:tcBorders>
            <w:shd w:val="clear" w:color="auto" w:fill="D9D9D9"/>
          </w:tcPr>
          <w:p w:rsidR="00950BDF" w:rsidRPr="00A16FA9" w:rsidRDefault="00950BDF" w:rsidP="00A16FA9">
            <w:pPr>
              <w:spacing w:after="0" w:line="240" w:lineRule="auto"/>
              <w:ind w:left="-57" w:right="-57"/>
              <w:jc w:val="center"/>
              <w:rPr>
                <w:rFonts w:ascii="Times New Roman" w:hAnsi="Times New Roman" w:cs="Times New Roman"/>
                <w:b/>
                <w:sz w:val="20"/>
                <w:szCs w:val="18"/>
              </w:rPr>
            </w:pPr>
            <w:r w:rsidRPr="00A16FA9">
              <w:rPr>
                <w:rFonts w:ascii="Times New Roman" w:hAnsi="Times New Roman" w:cs="Times New Roman"/>
                <w:b/>
                <w:sz w:val="20"/>
                <w:szCs w:val="18"/>
              </w:rPr>
              <w:t>Вариант 2</w:t>
            </w:r>
          </w:p>
        </w:tc>
        <w:tc>
          <w:tcPr>
            <w:tcW w:w="0" w:type="auto"/>
            <w:tcBorders>
              <w:bottom w:val="single" w:sz="12" w:space="0" w:color="auto"/>
            </w:tcBorders>
            <w:shd w:val="clear" w:color="auto" w:fill="D9D9D9"/>
          </w:tcPr>
          <w:p w:rsidR="00950BDF" w:rsidRPr="00A16FA9" w:rsidRDefault="00950BDF" w:rsidP="00A16FA9">
            <w:pPr>
              <w:spacing w:after="0" w:line="240" w:lineRule="auto"/>
              <w:ind w:left="-57" w:right="-57"/>
              <w:jc w:val="center"/>
              <w:rPr>
                <w:rFonts w:ascii="Times New Roman" w:hAnsi="Times New Roman" w:cs="Times New Roman"/>
                <w:b/>
                <w:sz w:val="20"/>
                <w:szCs w:val="18"/>
              </w:rPr>
            </w:pPr>
            <w:r w:rsidRPr="00A16FA9">
              <w:rPr>
                <w:rFonts w:ascii="Times New Roman" w:hAnsi="Times New Roman" w:cs="Times New Roman"/>
                <w:b/>
                <w:sz w:val="20"/>
                <w:szCs w:val="18"/>
              </w:rPr>
              <w:t>Вариант 3</w:t>
            </w:r>
          </w:p>
        </w:tc>
        <w:tc>
          <w:tcPr>
            <w:tcW w:w="0" w:type="auto"/>
            <w:tcBorders>
              <w:bottom w:val="single" w:sz="12" w:space="0" w:color="auto"/>
            </w:tcBorders>
            <w:shd w:val="clear" w:color="auto" w:fill="D9D9D9"/>
          </w:tcPr>
          <w:p w:rsidR="00950BDF" w:rsidRPr="00A16FA9" w:rsidRDefault="00950BDF" w:rsidP="00A16FA9">
            <w:pPr>
              <w:spacing w:after="0" w:line="240" w:lineRule="auto"/>
              <w:ind w:left="-57" w:right="-57"/>
              <w:jc w:val="center"/>
              <w:rPr>
                <w:rFonts w:ascii="Times New Roman" w:hAnsi="Times New Roman" w:cs="Times New Roman"/>
                <w:b/>
                <w:sz w:val="20"/>
                <w:szCs w:val="18"/>
              </w:rPr>
            </w:pPr>
            <w:r w:rsidRPr="00A16FA9">
              <w:rPr>
                <w:rFonts w:ascii="Times New Roman" w:hAnsi="Times New Roman" w:cs="Times New Roman"/>
                <w:b/>
                <w:sz w:val="20"/>
                <w:szCs w:val="18"/>
              </w:rPr>
              <w:t>Вариант 4</w:t>
            </w:r>
          </w:p>
        </w:tc>
        <w:tc>
          <w:tcPr>
            <w:tcW w:w="0" w:type="auto"/>
            <w:tcBorders>
              <w:bottom w:val="single" w:sz="12" w:space="0" w:color="auto"/>
            </w:tcBorders>
            <w:shd w:val="clear" w:color="auto" w:fill="D9D9D9"/>
          </w:tcPr>
          <w:p w:rsidR="00950BDF" w:rsidRPr="00A16FA9" w:rsidRDefault="00950BDF" w:rsidP="00A16FA9">
            <w:pPr>
              <w:spacing w:after="0" w:line="240" w:lineRule="auto"/>
              <w:ind w:left="-57" w:right="-57"/>
              <w:jc w:val="center"/>
              <w:rPr>
                <w:rFonts w:ascii="Times New Roman" w:hAnsi="Times New Roman" w:cs="Times New Roman"/>
                <w:b/>
                <w:sz w:val="20"/>
                <w:szCs w:val="18"/>
              </w:rPr>
            </w:pPr>
            <w:r w:rsidRPr="00A16FA9">
              <w:rPr>
                <w:rFonts w:ascii="Times New Roman" w:hAnsi="Times New Roman" w:cs="Times New Roman"/>
                <w:b/>
                <w:sz w:val="20"/>
                <w:szCs w:val="18"/>
              </w:rPr>
              <w:t>Вариант 5</w:t>
            </w:r>
          </w:p>
        </w:tc>
        <w:tc>
          <w:tcPr>
            <w:tcW w:w="0" w:type="auto"/>
            <w:tcBorders>
              <w:bottom w:val="single" w:sz="12" w:space="0" w:color="auto"/>
            </w:tcBorders>
            <w:shd w:val="clear" w:color="auto" w:fill="D9D9D9"/>
          </w:tcPr>
          <w:p w:rsidR="00950BDF" w:rsidRPr="00A16FA9" w:rsidRDefault="00950BDF" w:rsidP="00A16FA9">
            <w:pPr>
              <w:spacing w:after="0" w:line="240" w:lineRule="auto"/>
              <w:ind w:left="-57" w:right="-57"/>
              <w:jc w:val="center"/>
              <w:rPr>
                <w:rFonts w:ascii="Times New Roman" w:hAnsi="Times New Roman" w:cs="Times New Roman"/>
                <w:b/>
                <w:sz w:val="20"/>
                <w:szCs w:val="18"/>
              </w:rPr>
            </w:pPr>
            <w:r w:rsidRPr="00A16FA9">
              <w:rPr>
                <w:rFonts w:ascii="Times New Roman" w:hAnsi="Times New Roman" w:cs="Times New Roman"/>
                <w:b/>
                <w:sz w:val="20"/>
                <w:szCs w:val="18"/>
              </w:rPr>
              <w:t>Вариант 6</w:t>
            </w:r>
          </w:p>
        </w:tc>
      </w:tr>
      <w:tr w:rsidR="00950BDF" w:rsidRPr="00A16FA9" w:rsidTr="00A16FA9">
        <w:trPr>
          <w:jc w:val="center"/>
        </w:trPr>
        <w:tc>
          <w:tcPr>
            <w:tcW w:w="0" w:type="auto"/>
            <w:tcBorders>
              <w:top w:val="single" w:sz="12" w:space="0" w:color="auto"/>
              <w:bottom w:val="single" w:sz="4" w:space="0" w:color="auto"/>
              <w:right w:val="single" w:sz="12" w:space="0" w:color="auto"/>
            </w:tcBorders>
            <w:shd w:val="clear" w:color="auto" w:fill="auto"/>
            <w:vAlign w:val="bottom"/>
          </w:tcPr>
          <w:p w:rsidR="00950BDF" w:rsidRPr="00A16FA9" w:rsidRDefault="00950BDF" w:rsidP="00A16FA9">
            <w:pPr>
              <w:spacing w:after="0" w:line="240" w:lineRule="auto"/>
              <w:ind w:left="-57" w:right="-57"/>
              <w:rPr>
                <w:rFonts w:ascii="Times New Roman" w:eastAsia="Times New Roman" w:hAnsi="Times New Roman" w:cs="Times New Roman"/>
                <w:color w:val="000000"/>
                <w:sz w:val="20"/>
                <w:szCs w:val="18"/>
              </w:rPr>
            </w:pPr>
            <w:r w:rsidRPr="00A16FA9">
              <w:rPr>
                <w:rFonts w:ascii="Times New Roman" w:eastAsia="Times New Roman" w:hAnsi="Times New Roman" w:cs="Times New Roman"/>
                <w:color w:val="000000"/>
                <w:sz w:val="20"/>
                <w:szCs w:val="18"/>
              </w:rPr>
              <w:t>Частен инвеститор</w:t>
            </w:r>
          </w:p>
        </w:tc>
        <w:tc>
          <w:tcPr>
            <w:tcW w:w="0" w:type="auto"/>
            <w:tcBorders>
              <w:top w:val="single" w:sz="12" w:space="0" w:color="auto"/>
              <w:left w:val="single" w:sz="12" w:space="0" w:color="auto"/>
              <w:bottom w:val="single" w:sz="4" w:space="0" w:color="auto"/>
            </w:tcBorders>
            <w:shd w:val="clear" w:color="auto" w:fill="auto"/>
          </w:tcPr>
          <w:p w:rsidR="00950BDF" w:rsidRPr="00A16FA9" w:rsidRDefault="00950BDF" w:rsidP="00A16FA9">
            <w:pPr>
              <w:spacing w:after="0" w:line="240" w:lineRule="auto"/>
              <w:ind w:left="-57" w:right="-57"/>
              <w:rPr>
                <w:rFonts w:ascii="Times New Roman" w:hAnsi="Times New Roman" w:cs="Times New Roman"/>
                <w:color w:val="000000"/>
                <w:sz w:val="20"/>
                <w:szCs w:val="18"/>
              </w:rPr>
            </w:pPr>
            <w:r w:rsidRPr="00A16FA9">
              <w:rPr>
                <w:rFonts w:ascii="Times New Roman" w:hAnsi="Times New Roman" w:cs="Times New Roman"/>
                <w:color w:val="000000"/>
                <w:sz w:val="20"/>
                <w:szCs w:val="18"/>
              </w:rPr>
              <w:t>хил.евро</w:t>
            </w:r>
          </w:p>
        </w:tc>
        <w:tc>
          <w:tcPr>
            <w:tcW w:w="0" w:type="auto"/>
            <w:tcBorders>
              <w:top w:val="single" w:sz="12" w:space="0" w:color="auto"/>
              <w:bottom w:val="single" w:sz="4" w:space="0" w:color="auto"/>
            </w:tcBorders>
            <w:shd w:val="clear" w:color="auto" w:fill="auto"/>
            <w:vAlign w:val="center"/>
          </w:tcPr>
          <w:p w:rsidR="00950BDF" w:rsidRPr="00A16FA9" w:rsidRDefault="00A16FA9" w:rsidP="00A16FA9">
            <w:pPr>
              <w:spacing w:after="0" w:line="240" w:lineRule="auto"/>
              <w:ind w:left="-57" w:right="-57"/>
              <w:jc w:val="right"/>
              <w:rPr>
                <w:rFonts w:ascii="Times New Roman" w:hAnsi="Times New Roman" w:cs="Times New Roman"/>
                <w:color w:val="000000"/>
                <w:sz w:val="20"/>
                <w:szCs w:val="18"/>
              </w:rPr>
            </w:pPr>
            <w:r w:rsidRPr="00A16FA9">
              <w:rPr>
                <w:rFonts w:ascii="Times New Roman" w:hAnsi="Times New Roman" w:cs="Times New Roman"/>
                <w:color w:val="000000"/>
                <w:sz w:val="20"/>
                <w:szCs w:val="18"/>
              </w:rPr>
              <w:t>5263</w:t>
            </w:r>
            <w:r w:rsidR="00950BDF" w:rsidRPr="00A16FA9">
              <w:rPr>
                <w:rFonts w:ascii="Times New Roman" w:hAnsi="Times New Roman" w:cs="Times New Roman"/>
                <w:color w:val="000000"/>
                <w:sz w:val="20"/>
                <w:szCs w:val="18"/>
              </w:rPr>
              <w:t>821</w:t>
            </w:r>
          </w:p>
        </w:tc>
        <w:tc>
          <w:tcPr>
            <w:tcW w:w="0" w:type="auto"/>
            <w:tcBorders>
              <w:top w:val="single" w:sz="12" w:space="0" w:color="auto"/>
              <w:bottom w:val="single" w:sz="4" w:space="0" w:color="auto"/>
            </w:tcBorders>
            <w:shd w:val="clear" w:color="auto" w:fill="auto"/>
            <w:vAlign w:val="center"/>
          </w:tcPr>
          <w:p w:rsidR="00950BDF" w:rsidRPr="00A16FA9" w:rsidRDefault="00A16FA9" w:rsidP="00A16FA9">
            <w:pPr>
              <w:spacing w:after="0" w:line="240" w:lineRule="auto"/>
              <w:ind w:left="-57" w:right="-57"/>
              <w:jc w:val="right"/>
              <w:rPr>
                <w:rFonts w:ascii="Times New Roman" w:hAnsi="Times New Roman" w:cs="Times New Roman"/>
                <w:color w:val="000000"/>
                <w:sz w:val="20"/>
                <w:szCs w:val="18"/>
              </w:rPr>
            </w:pPr>
            <w:r w:rsidRPr="00A16FA9">
              <w:rPr>
                <w:rFonts w:ascii="Times New Roman" w:hAnsi="Times New Roman" w:cs="Times New Roman"/>
                <w:color w:val="000000"/>
                <w:sz w:val="20"/>
                <w:szCs w:val="18"/>
              </w:rPr>
              <w:t>4211</w:t>
            </w:r>
            <w:r w:rsidR="00950BDF" w:rsidRPr="00A16FA9">
              <w:rPr>
                <w:rFonts w:ascii="Times New Roman" w:hAnsi="Times New Roman" w:cs="Times New Roman"/>
                <w:color w:val="000000"/>
                <w:sz w:val="20"/>
                <w:szCs w:val="18"/>
              </w:rPr>
              <w:t>057</w:t>
            </w:r>
          </w:p>
        </w:tc>
        <w:tc>
          <w:tcPr>
            <w:tcW w:w="0" w:type="auto"/>
            <w:tcBorders>
              <w:top w:val="single" w:sz="12" w:space="0" w:color="auto"/>
              <w:bottom w:val="single" w:sz="4" w:space="0" w:color="auto"/>
            </w:tcBorders>
            <w:shd w:val="clear" w:color="auto" w:fill="auto"/>
            <w:vAlign w:val="center"/>
          </w:tcPr>
          <w:p w:rsidR="00950BDF" w:rsidRPr="00A16FA9" w:rsidRDefault="00A16FA9" w:rsidP="00A16FA9">
            <w:pPr>
              <w:spacing w:after="0" w:line="240" w:lineRule="auto"/>
              <w:ind w:left="-57" w:right="-57"/>
              <w:jc w:val="right"/>
              <w:rPr>
                <w:rFonts w:ascii="Times New Roman" w:hAnsi="Times New Roman" w:cs="Times New Roman"/>
                <w:color w:val="000000"/>
                <w:sz w:val="20"/>
                <w:szCs w:val="18"/>
              </w:rPr>
            </w:pPr>
            <w:r w:rsidRPr="00A16FA9">
              <w:rPr>
                <w:rFonts w:ascii="Times New Roman" w:hAnsi="Times New Roman" w:cs="Times New Roman"/>
                <w:color w:val="000000"/>
                <w:sz w:val="20"/>
                <w:szCs w:val="18"/>
              </w:rPr>
              <w:t>3158</w:t>
            </w:r>
            <w:r w:rsidR="00950BDF" w:rsidRPr="00A16FA9">
              <w:rPr>
                <w:rFonts w:ascii="Times New Roman" w:hAnsi="Times New Roman" w:cs="Times New Roman"/>
                <w:color w:val="000000"/>
                <w:sz w:val="20"/>
                <w:szCs w:val="18"/>
              </w:rPr>
              <w:t>293</w:t>
            </w:r>
          </w:p>
        </w:tc>
        <w:tc>
          <w:tcPr>
            <w:tcW w:w="0" w:type="auto"/>
            <w:tcBorders>
              <w:top w:val="single" w:sz="12" w:space="0" w:color="auto"/>
              <w:bottom w:val="single" w:sz="4" w:space="0" w:color="auto"/>
            </w:tcBorders>
            <w:shd w:val="clear" w:color="auto" w:fill="auto"/>
            <w:vAlign w:val="center"/>
          </w:tcPr>
          <w:p w:rsidR="00950BDF" w:rsidRPr="00A16FA9" w:rsidRDefault="00A16FA9" w:rsidP="00A16FA9">
            <w:pPr>
              <w:spacing w:after="0" w:line="240" w:lineRule="auto"/>
              <w:ind w:left="-57" w:right="-57"/>
              <w:jc w:val="right"/>
              <w:rPr>
                <w:rFonts w:ascii="Times New Roman" w:hAnsi="Times New Roman" w:cs="Times New Roman"/>
                <w:color w:val="000000"/>
                <w:sz w:val="20"/>
                <w:szCs w:val="18"/>
              </w:rPr>
            </w:pPr>
            <w:r w:rsidRPr="00A16FA9">
              <w:rPr>
                <w:rFonts w:ascii="Times New Roman" w:hAnsi="Times New Roman" w:cs="Times New Roman"/>
                <w:color w:val="000000"/>
                <w:sz w:val="20"/>
                <w:szCs w:val="18"/>
              </w:rPr>
              <w:t>4090</w:t>
            </w:r>
            <w:r w:rsidR="00950BDF" w:rsidRPr="00A16FA9">
              <w:rPr>
                <w:rFonts w:ascii="Times New Roman" w:hAnsi="Times New Roman" w:cs="Times New Roman"/>
                <w:color w:val="000000"/>
                <w:sz w:val="20"/>
                <w:szCs w:val="18"/>
              </w:rPr>
              <w:t>346</w:t>
            </w:r>
          </w:p>
        </w:tc>
        <w:tc>
          <w:tcPr>
            <w:tcW w:w="0" w:type="auto"/>
            <w:tcBorders>
              <w:top w:val="single" w:sz="12" w:space="0" w:color="auto"/>
              <w:bottom w:val="single" w:sz="4" w:space="0" w:color="auto"/>
            </w:tcBorders>
            <w:shd w:val="clear" w:color="auto" w:fill="auto"/>
            <w:vAlign w:val="center"/>
          </w:tcPr>
          <w:p w:rsidR="00950BDF" w:rsidRPr="00A16FA9" w:rsidRDefault="00A16FA9" w:rsidP="00A16FA9">
            <w:pPr>
              <w:spacing w:after="0" w:line="240" w:lineRule="auto"/>
              <w:ind w:left="-57" w:right="-57"/>
              <w:jc w:val="right"/>
              <w:rPr>
                <w:rFonts w:ascii="Times New Roman" w:hAnsi="Times New Roman" w:cs="Times New Roman"/>
                <w:color w:val="000000"/>
                <w:sz w:val="20"/>
                <w:szCs w:val="18"/>
              </w:rPr>
            </w:pPr>
            <w:r w:rsidRPr="00A16FA9">
              <w:rPr>
                <w:rFonts w:ascii="Times New Roman" w:hAnsi="Times New Roman" w:cs="Times New Roman"/>
                <w:color w:val="000000"/>
                <w:sz w:val="20"/>
                <w:szCs w:val="18"/>
              </w:rPr>
              <w:t>3037</w:t>
            </w:r>
            <w:r w:rsidR="00950BDF" w:rsidRPr="00A16FA9">
              <w:rPr>
                <w:rFonts w:ascii="Times New Roman" w:hAnsi="Times New Roman" w:cs="Times New Roman"/>
                <w:color w:val="000000"/>
                <w:sz w:val="20"/>
                <w:szCs w:val="18"/>
              </w:rPr>
              <w:t>582</w:t>
            </w:r>
          </w:p>
        </w:tc>
        <w:tc>
          <w:tcPr>
            <w:tcW w:w="0" w:type="auto"/>
            <w:tcBorders>
              <w:top w:val="single" w:sz="12" w:space="0" w:color="auto"/>
              <w:bottom w:val="single" w:sz="4" w:space="0" w:color="auto"/>
            </w:tcBorders>
            <w:shd w:val="clear" w:color="auto" w:fill="auto"/>
            <w:vAlign w:val="center"/>
          </w:tcPr>
          <w:p w:rsidR="00950BDF" w:rsidRPr="00A16FA9" w:rsidRDefault="00A16FA9" w:rsidP="00A16FA9">
            <w:pPr>
              <w:spacing w:after="0" w:line="240" w:lineRule="auto"/>
              <w:ind w:left="-57" w:right="-57"/>
              <w:jc w:val="right"/>
              <w:rPr>
                <w:rFonts w:ascii="Times New Roman" w:hAnsi="Times New Roman" w:cs="Times New Roman"/>
                <w:color w:val="000000"/>
                <w:sz w:val="20"/>
                <w:szCs w:val="18"/>
              </w:rPr>
            </w:pPr>
            <w:r w:rsidRPr="00A16FA9">
              <w:rPr>
                <w:rFonts w:ascii="Times New Roman" w:hAnsi="Times New Roman" w:cs="Times New Roman"/>
                <w:color w:val="000000"/>
                <w:sz w:val="20"/>
                <w:szCs w:val="18"/>
              </w:rPr>
              <w:t>1984</w:t>
            </w:r>
            <w:r w:rsidR="00950BDF" w:rsidRPr="00A16FA9">
              <w:rPr>
                <w:rFonts w:ascii="Times New Roman" w:hAnsi="Times New Roman" w:cs="Times New Roman"/>
                <w:color w:val="000000"/>
                <w:sz w:val="20"/>
                <w:szCs w:val="18"/>
              </w:rPr>
              <w:t>818</w:t>
            </w:r>
          </w:p>
        </w:tc>
      </w:tr>
      <w:tr w:rsidR="00950BDF" w:rsidRPr="00A16FA9" w:rsidTr="00A16FA9">
        <w:trPr>
          <w:jc w:val="center"/>
        </w:trPr>
        <w:tc>
          <w:tcPr>
            <w:tcW w:w="0" w:type="auto"/>
            <w:tcBorders>
              <w:top w:val="single" w:sz="4" w:space="0" w:color="auto"/>
              <w:bottom w:val="single" w:sz="4" w:space="0" w:color="auto"/>
              <w:right w:val="single" w:sz="12" w:space="0" w:color="auto"/>
            </w:tcBorders>
            <w:shd w:val="clear" w:color="auto" w:fill="auto"/>
            <w:vAlign w:val="bottom"/>
          </w:tcPr>
          <w:p w:rsidR="00950BDF" w:rsidRPr="00A16FA9" w:rsidRDefault="00950BDF" w:rsidP="00A16FA9">
            <w:pPr>
              <w:spacing w:after="0" w:line="240" w:lineRule="auto"/>
              <w:ind w:left="-57" w:right="-57"/>
              <w:rPr>
                <w:rFonts w:ascii="Times New Roman" w:eastAsia="Times New Roman" w:hAnsi="Times New Roman" w:cs="Times New Roman"/>
                <w:color w:val="000000"/>
                <w:sz w:val="20"/>
                <w:szCs w:val="18"/>
              </w:rPr>
            </w:pPr>
            <w:r w:rsidRPr="00A16FA9">
              <w:rPr>
                <w:rFonts w:ascii="Times New Roman" w:eastAsia="Times New Roman" w:hAnsi="Times New Roman" w:cs="Times New Roman"/>
                <w:color w:val="000000"/>
                <w:sz w:val="20"/>
                <w:szCs w:val="18"/>
              </w:rPr>
              <w:t xml:space="preserve">Държава </w:t>
            </w:r>
          </w:p>
        </w:tc>
        <w:tc>
          <w:tcPr>
            <w:tcW w:w="0" w:type="auto"/>
            <w:tcBorders>
              <w:top w:val="single" w:sz="4" w:space="0" w:color="auto"/>
              <w:left w:val="single" w:sz="12" w:space="0" w:color="auto"/>
            </w:tcBorders>
            <w:shd w:val="clear" w:color="auto" w:fill="auto"/>
          </w:tcPr>
          <w:p w:rsidR="00950BDF" w:rsidRPr="00A16FA9" w:rsidRDefault="00950BDF" w:rsidP="00A16FA9">
            <w:pPr>
              <w:spacing w:after="0" w:line="240" w:lineRule="auto"/>
              <w:ind w:left="-57" w:right="-57"/>
              <w:rPr>
                <w:rFonts w:ascii="Times New Roman" w:hAnsi="Times New Roman" w:cs="Times New Roman"/>
                <w:color w:val="000000"/>
                <w:sz w:val="20"/>
                <w:szCs w:val="18"/>
              </w:rPr>
            </w:pPr>
            <w:r w:rsidRPr="00A16FA9">
              <w:rPr>
                <w:rFonts w:ascii="Times New Roman" w:hAnsi="Times New Roman" w:cs="Times New Roman"/>
                <w:color w:val="000000"/>
                <w:sz w:val="20"/>
                <w:szCs w:val="18"/>
              </w:rPr>
              <w:t>хил.евро</w:t>
            </w:r>
          </w:p>
        </w:tc>
        <w:tc>
          <w:tcPr>
            <w:tcW w:w="0" w:type="auto"/>
            <w:tcBorders>
              <w:top w:val="single" w:sz="4" w:space="0" w:color="auto"/>
            </w:tcBorders>
            <w:shd w:val="clear" w:color="auto" w:fill="auto"/>
            <w:vAlign w:val="center"/>
          </w:tcPr>
          <w:p w:rsidR="00950BDF" w:rsidRPr="00A16FA9" w:rsidRDefault="00F71484" w:rsidP="00A16FA9">
            <w:pPr>
              <w:spacing w:after="0" w:line="240" w:lineRule="auto"/>
              <w:ind w:left="-57" w:right="-57"/>
              <w:jc w:val="right"/>
              <w:rPr>
                <w:rFonts w:ascii="Times New Roman" w:eastAsia="Times New Roman" w:hAnsi="Times New Roman" w:cs="Times New Roman"/>
                <w:color w:val="000000"/>
                <w:sz w:val="20"/>
                <w:szCs w:val="18"/>
              </w:rPr>
            </w:pPr>
            <w:r>
              <w:rPr>
                <w:rFonts w:ascii="Times New Roman" w:hAnsi="Times New Roman" w:cs="Times New Roman"/>
                <w:color w:val="000000"/>
                <w:sz w:val="20"/>
                <w:szCs w:val="18"/>
              </w:rPr>
              <w:t>0</w:t>
            </w:r>
          </w:p>
        </w:tc>
        <w:tc>
          <w:tcPr>
            <w:tcW w:w="0" w:type="auto"/>
            <w:tcBorders>
              <w:top w:val="single" w:sz="4" w:space="0" w:color="auto"/>
            </w:tcBorders>
            <w:shd w:val="clear" w:color="auto" w:fill="auto"/>
            <w:vAlign w:val="center"/>
          </w:tcPr>
          <w:p w:rsidR="00950BDF" w:rsidRPr="00A16FA9" w:rsidRDefault="00F71484" w:rsidP="00A16FA9">
            <w:pPr>
              <w:spacing w:after="0" w:line="240" w:lineRule="auto"/>
              <w:ind w:left="-57" w:right="-57"/>
              <w:jc w:val="right"/>
              <w:rPr>
                <w:rFonts w:ascii="Times New Roman" w:eastAsia="Times New Roman" w:hAnsi="Times New Roman" w:cs="Times New Roman"/>
                <w:color w:val="000000"/>
                <w:sz w:val="20"/>
                <w:szCs w:val="18"/>
              </w:rPr>
            </w:pPr>
            <w:r>
              <w:rPr>
                <w:rFonts w:ascii="Times New Roman" w:hAnsi="Times New Roman" w:cs="Times New Roman"/>
                <w:color w:val="000000"/>
                <w:sz w:val="20"/>
                <w:szCs w:val="18"/>
              </w:rPr>
              <w:t>0</w:t>
            </w:r>
          </w:p>
        </w:tc>
        <w:tc>
          <w:tcPr>
            <w:tcW w:w="0" w:type="auto"/>
            <w:tcBorders>
              <w:top w:val="single" w:sz="4" w:space="0" w:color="auto"/>
            </w:tcBorders>
            <w:shd w:val="clear" w:color="auto" w:fill="auto"/>
            <w:vAlign w:val="center"/>
          </w:tcPr>
          <w:p w:rsidR="00950BDF" w:rsidRPr="00A16FA9" w:rsidRDefault="00F71484" w:rsidP="00A16FA9">
            <w:pPr>
              <w:spacing w:after="0" w:line="240" w:lineRule="auto"/>
              <w:ind w:left="-57" w:right="-57"/>
              <w:jc w:val="right"/>
              <w:rPr>
                <w:rFonts w:ascii="Times New Roman" w:eastAsia="Times New Roman" w:hAnsi="Times New Roman" w:cs="Times New Roman"/>
                <w:color w:val="000000"/>
                <w:sz w:val="20"/>
                <w:szCs w:val="18"/>
              </w:rPr>
            </w:pPr>
            <w:r>
              <w:rPr>
                <w:rFonts w:ascii="Times New Roman" w:hAnsi="Times New Roman" w:cs="Times New Roman"/>
                <w:color w:val="000000"/>
                <w:sz w:val="20"/>
                <w:szCs w:val="18"/>
              </w:rPr>
              <w:t>0</w:t>
            </w:r>
            <w:r w:rsidR="00950BDF" w:rsidRPr="00A16FA9">
              <w:rPr>
                <w:rFonts w:ascii="Times New Roman" w:hAnsi="Times New Roman" w:cs="Times New Roman"/>
                <w:color w:val="000000"/>
                <w:sz w:val="20"/>
                <w:szCs w:val="18"/>
              </w:rPr>
              <w:t> </w:t>
            </w:r>
          </w:p>
        </w:tc>
        <w:tc>
          <w:tcPr>
            <w:tcW w:w="0" w:type="auto"/>
            <w:tcBorders>
              <w:top w:val="single" w:sz="4" w:space="0" w:color="auto"/>
            </w:tcBorders>
            <w:shd w:val="clear" w:color="auto" w:fill="auto"/>
            <w:vAlign w:val="center"/>
          </w:tcPr>
          <w:p w:rsidR="00950BDF" w:rsidRPr="00A16FA9" w:rsidRDefault="00A16FA9" w:rsidP="00A16FA9">
            <w:pPr>
              <w:spacing w:after="0" w:line="240" w:lineRule="auto"/>
              <w:ind w:left="-57" w:right="-57"/>
              <w:jc w:val="right"/>
              <w:rPr>
                <w:rFonts w:ascii="Times New Roman" w:eastAsia="Times New Roman" w:hAnsi="Times New Roman" w:cs="Times New Roman"/>
                <w:color w:val="000000"/>
                <w:sz w:val="20"/>
                <w:szCs w:val="18"/>
              </w:rPr>
            </w:pPr>
            <w:r w:rsidRPr="00A16FA9">
              <w:rPr>
                <w:rFonts w:ascii="Times New Roman" w:hAnsi="Times New Roman" w:cs="Times New Roman"/>
                <w:color w:val="000000"/>
                <w:sz w:val="20"/>
                <w:szCs w:val="18"/>
              </w:rPr>
              <w:t>1173</w:t>
            </w:r>
            <w:r w:rsidR="00950BDF" w:rsidRPr="00A16FA9">
              <w:rPr>
                <w:rFonts w:ascii="Times New Roman" w:hAnsi="Times New Roman" w:cs="Times New Roman"/>
                <w:color w:val="000000"/>
                <w:sz w:val="20"/>
                <w:szCs w:val="18"/>
              </w:rPr>
              <w:t>475</w:t>
            </w:r>
          </w:p>
        </w:tc>
        <w:tc>
          <w:tcPr>
            <w:tcW w:w="0" w:type="auto"/>
            <w:tcBorders>
              <w:top w:val="single" w:sz="4" w:space="0" w:color="auto"/>
            </w:tcBorders>
            <w:shd w:val="clear" w:color="auto" w:fill="auto"/>
            <w:vAlign w:val="center"/>
          </w:tcPr>
          <w:p w:rsidR="00950BDF" w:rsidRPr="00A16FA9" w:rsidRDefault="00A16FA9" w:rsidP="00A16FA9">
            <w:pPr>
              <w:spacing w:after="0" w:line="240" w:lineRule="auto"/>
              <w:ind w:left="-57" w:right="-57"/>
              <w:jc w:val="right"/>
              <w:rPr>
                <w:rFonts w:ascii="Times New Roman" w:eastAsia="Times New Roman" w:hAnsi="Times New Roman" w:cs="Times New Roman"/>
                <w:color w:val="000000"/>
                <w:sz w:val="20"/>
                <w:szCs w:val="18"/>
              </w:rPr>
            </w:pPr>
            <w:r w:rsidRPr="00A16FA9">
              <w:rPr>
                <w:rFonts w:ascii="Times New Roman" w:hAnsi="Times New Roman" w:cs="Times New Roman"/>
                <w:color w:val="000000"/>
                <w:sz w:val="20"/>
                <w:szCs w:val="18"/>
              </w:rPr>
              <w:t>1173</w:t>
            </w:r>
            <w:r w:rsidR="00950BDF" w:rsidRPr="00A16FA9">
              <w:rPr>
                <w:rFonts w:ascii="Times New Roman" w:hAnsi="Times New Roman" w:cs="Times New Roman"/>
                <w:color w:val="000000"/>
                <w:sz w:val="20"/>
                <w:szCs w:val="18"/>
              </w:rPr>
              <w:t>475</w:t>
            </w:r>
          </w:p>
        </w:tc>
        <w:tc>
          <w:tcPr>
            <w:tcW w:w="0" w:type="auto"/>
            <w:tcBorders>
              <w:top w:val="single" w:sz="4" w:space="0" w:color="auto"/>
            </w:tcBorders>
            <w:shd w:val="clear" w:color="auto" w:fill="auto"/>
            <w:vAlign w:val="center"/>
          </w:tcPr>
          <w:p w:rsidR="00950BDF" w:rsidRPr="00A16FA9" w:rsidRDefault="00A16FA9" w:rsidP="00A16FA9">
            <w:pPr>
              <w:spacing w:after="0" w:line="240" w:lineRule="auto"/>
              <w:ind w:left="-57" w:right="-57"/>
              <w:jc w:val="right"/>
              <w:rPr>
                <w:rFonts w:ascii="Times New Roman" w:eastAsia="Times New Roman" w:hAnsi="Times New Roman" w:cs="Times New Roman"/>
                <w:color w:val="000000"/>
                <w:sz w:val="20"/>
                <w:szCs w:val="18"/>
              </w:rPr>
            </w:pPr>
            <w:r w:rsidRPr="00A16FA9">
              <w:rPr>
                <w:rFonts w:ascii="Times New Roman" w:hAnsi="Times New Roman" w:cs="Times New Roman"/>
                <w:color w:val="000000"/>
                <w:sz w:val="20"/>
                <w:szCs w:val="18"/>
              </w:rPr>
              <w:t>1173</w:t>
            </w:r>
            <w:r w:rsidR="00950BDF" w:rsidRPr="00A16FA9">
              <w:rPr>
                <w:rFonts w:ascii="Times New Roman" w:hAnsi="Times New Roman" w:cs="Times New Roman"/>
                <w:color w:val="000000"/>
                <w:sz w:val="20"/>
                <w:szCs w:val="18"/>
              </w:rPr>
              <w:t>475</w:t>
            </w:r>
          </w:p>
        </w:tc>
      </w:tr>
      <w:tr w:rsidR="00950BDF" w:rsidRPr="00A16FA9" w:rsidTr="00A16FA9">
        <w:trPr>
          <w:jc w:val="center"/>
        </w:trPr>
        <w:tc>
          <w:tcPr>
            <w:tcW w:w="0" w:type="auto"/>
            <w:tcBorders>
              <w:top w:val="single" w:sz="4" w:space="0" w:color="auto"/>
              <w:bottom w:val="single" w:sz="12" w:space="0" w:color="auto"/>
              <w:right w:val="single" w:sz="12" w:space="0" w:color="auto"/>
            </w:tcBorders>
            <w:shd w:val="clear" w:color="auto" w:fill="auto"/>
            <w:vAlign w:val="bottom"/>
          </w:tcPr>
          <w:p w:rsidR="00950BDF" w:rsidRPr="00A16FA9" w:rsidRDefault="00950BDF" w:rsidP="00A16FA9">
            <w:pPr>
              <w:spacing w:after="0" w:line="240" w:lineRule="auto"/>
              <w:ind w:left="-57" w:right="-57"/>
              <w:rPr>
                <w:rFonts w:ascii="Times New Roman" w:eastAsia="Times New Roman" w:hAnsi="Times New Roman" w:cs="Times New Roman"/>
                <w:color w:val="000000"/>
                <w:sz w:val="20"/>
                <w:szCs w:val="18"/>
              </w:rPr>
            </w:pPr>
            <w:r w:rsidRPr="00A16FA9">
              <w:rPr>
                <w:rFonts w:ascii="Times New Roman" w:eastAsia="Times New Roman" w:hAnsi="Times New Roman" w:cs="Times New Roman"/>
                <w:color w:val="000000"/>
                <w:sz w:val="20"/>
                <w:szCs w:val="18"/>
              </w:rPr>
              <w:t>Общо</w:t>
            </w:r>
          </w:p>
        </w:tc>
        <w:tc>
          <w:tcPr>
            <w:tcW w:w="0" w:type="auto"/>
            <w:tcBorders>
              <w:left w:val="single" w:sz="12" w:space="0" w:color="auto"/>
              <w:bottom w:val="single" w:sz="12" w:space="0" w:color="auto"/>
            </w:tcBorders>
            <w:shd w:val="clear" w:color="auto" w:fill="auto"/>
          </w:tcPr>
          <w:p w:rsidR="00950BDF" w:rsidRPr="00A16FA9" w:rsidRDefault="00950BDF" w:rsidP="00A16FA9">
            <w:pPr>
              <w:spacing w:after="0" w:line="240" w:lineRule="auto"/>
              <w:ind w:left="-57" w:right="-57"/>
              <w:jc w:val="right"/>
              <w:rPr>
                <w:rFonts w:ascii="Times New Roman" w:eastAsia="Times New Roman" w:hAnsi="Times New Roman" w:cs="Times New Roman"/>
                <w:color w:val="000000"/>
                <w:sz w:val="20"/>
                <w:szCs w:val="18"/>
              </w:rPr>
            </w:pPr>
            <w:r w:rsidRPr="00A16FA9">
              <w:rPr>
                <w:rFonts w:ascii="Times New Roman" w:eastAsia="Times New Roman" w:hAnsi="Times New Roman" w:cs="Times New Roman"/>
                <w:color w:val="000000"/>
                <w:sz w:val="20"/>
                <w:szCs w:val="18"/>
              </w:rPr>
              <w:t>хил.евро</w:t>
            </w:r>
          </w:p>
        </w:tc>
        <w:tc>
          <w:tcPr>
            <w:tcW w:w="0" w:type="auto"/>
            <w:tcBorders>
              <w:bottom w:val="single" w:sz="12" w:space="0" w:color="auto"/>
            </w:tcBorders>
            <w:shd w:val="clear" w:color="auto" w:fill="auto"/>
            <w:vAlign w:val="center"/>
          </w:tcPr>
          <w:p w:rsidR="00950BDF" w:rsidRPr="00A16FA9" w:rsidRDefault="00A16FA9" w:rsidP="00A16FA9">
            <w:pPr>
              <w:spacing w:after="0" w:line="240" w:lineRule="auto"/>
              <w:ind w:left="-57" w:right="-57"/>
              <w:jc w:val="right"/>
              <w:rPr>
                <w:rFonts w:ascii="Times New Roman" w:hAnsi="Times New Roman" w:cs="Times New Roman"/>
                <w:color w:val="000000"/>
                <w:sz w:val="20"/>
                <w:szCs w:val="18"/>
              </w:rPr>
            </w:pPr>
            <w:r w:rsidRPr="00A16FA9">
              <w:rPr>
                <w:rFonts w:ascii="Times New Roman" w:hAnsi="Times New Roman" w:cs="Times New Roman"/>
                <w:color w:val="000000"/>
                <w:sz w:val="20"/>
                <w:szCs w:val="18"/>
              </w:rPr>
              <w:t>5263</w:t>
            </w:r>
            <w:r w:rsidR="00950BDF" w:rsidRPr="00A16FA9">
              <w:rPr>
                <w:rFonts w:ascii="Times New Roman" w:hAnsi="Times New Roman" w:cs="Times New Roman"/>
                <w:color w:val="000000"/>
                <w:sz w:val="20"/>
                <w:szCs w:val="18"/>
              </w:rPr>
              <w:t>821</w:t>
            </w:r>
          </w:p>
        </w:tc>
        <w:tc>
          <w:tcPr>
            <w:tcW w:w="0" w:type="auto"/>
            <w:tcBorders>
              <w:bottom w:val="single" w:sz="12" w:space="0" w:color="auto"/>
            </w:tcBorders>
            <w:shd w:val="clear" w:color="auto" w:fill="auto"/>
            <w:vAlign w:val="center"/>
          </w:tcPr>
          <w:p w:rsidR="00950BDF" w:rsidRPr="00A16FA9" w:rsidRDefault="00A16FA9" w:rsidP="00A16FA9">
            <w:pPr>
              <w:spacing w:after="0" w:line="240" w:lineRule="auto"/>
              <w:ind w:left="-57" w:right="-57"/>
              <w:jc w:val="right"/>
              <w:rPr>
                <w:rFonts w:ascii="Times New Roman" w:hAnsi="Times New Roman" w:cs="Times New Roman"/>
                <w:color w:val="000000"/>
                <w:sz w:val="20"/>
                <w:szCs w:val="18"/>
              </w:rPr>
            </w:pPr>
            <w:r w:rsidRPr="00A16FA9">
              <w:rPr>
                <w:rFonts w:ascii="Times New Roman" w:hAnsi="Times New Roman" w:cs="Times New Roman"/>
                <w:color w:val="000000"/>
                <w:sz w:val="20"/>
                <w:szCs w:val="18"/>
              </w:rPr>
              <w:t>4211</w:t>
            </w:r>
            <w:r w:rsidR="00950BDF" w:rsidRPr="00A16FA9">
              <w:rPr>
                <w:rFonts w:ascii="Times New Roman" w:hAnsi="Times New Roman" w:cs="Times New Roman"/>
                <w:color w:val="000000"/>
                <w:sz w:val="20"/>
                <w:szCs w:val="18"/>
              </w:rPr>
              <w:t>057</w:t>
            </w:r>
          </w:p>
        </w:tc>
        <w:tc>
          <w:tcPr>
            <w:tcW w:w="0" w:type="auto"/>
            <w:tcBorders>
              <w:bottom w:val="single" w:sz="12" w:space="0" w:color="auto"/>
            </w:tcBorders>
            <w:shd w:val="clear" w:color="auto" w:fill="auto"/>
            <w:vAlign w:val="center"/>
          </w:tcPr>
          <w:p w:rsidR="00950BDF" w:rsidRPr="00A16FA9" w:rsidRDefault="00A16FA9" w:rsidP="00A16FA9">
            <w:pPr>
              <w:spacing w:after="0" w:line="240" w:lineRule="auto"/>
              <w:ind w:left="-57" w:right="-57"/>
              <w:jc w:val="right"/>
              <w:rPr>
                <w:rFonts w:ascii="Times New Roman" w:hAnsi="Times New Roman" w:cs="Times New Roman"/>
                <w:color w:val="000000"/>
                <w:sz w:val="20"/>
                <w:szCs w:val="18"/>
              </w:rPr>
            </w:pPr>
            <w:r w:rsidRPr="00A16FA9">
              <w:rPr>
                <w:rFonts w:ascii="Times New Roman" w:hAnsi="Times New Roman" w:cs="Times New Roman"/>
                <w:color w:val="000000"/>
                <w:sz w:val="20"/>
                <w:szCs w:val="18"/>
              </w:rPr>
              <w:t>3158</w:t>
            </w:r>
            <w:r w:rsidR="00950BDF" w:rsidRPr="00A16FA9">
              <w:rPr>
                <w:rFonts w:ascii="Times New Roman" w:hAnsi="Times New Roman" w:cs="Times New Roman"/>
                <w:color w:val="000000"/>
                <w:sz w:val="20"/>
                <w:szCs w:val="18"/>
              </w:rPr>
              <w:t>293</w:t>
            </w:r>
          </w:p>
        </w:tc>
        <w:tc>
          <w:tcPr>
            <w:tcW w:w="0" w:type="auto"/>
            <w:tcBorders>
              <w:bottom w:val="single" w:sz="12" w:space="0" w:color="auto"/>
            </w:tcBorders>
            <w:shd w:val="clear" w:color="auto" w:fill="auto"/>
            <w:vAlign w:val="center"/>
          </w:tcPr>
          <w:p w:rsidR="00950BDF" w:rsidRPr="00A16FA9" w:rsidRDefault="00A16FA9" w:rsidP="00A16FA9">
            <w:pPr>
              <w:spacing w:after="0" w:line="240" w:lineRule="auto"/>
              <w:ind w:left="-57" w:right="-57"/>
              <w:jc w:val="right"/>
              <w:rPr>
                <w:rFonts w:ascii="Times New Roman" w:hAnsi="Times New Roman" w:cs="Times New Roman"/>
                <w:color w:val="000000"/>
                <w:sz w:val="20"/>
                <w:szCs w:val="18"/>
              </w:rPr>
            </w:pPr>
            <w:r w:rsidRPr="00A16FA9">
              <w:rPr>
                <w:rFonts w:ascii="Times New Roman" w:hAnsi="Times New Roman" w:cs="Times New Roman"/>
                <w:color w:val="000000"/>
                <w:sz w:val="20"/>
                <w:szCs w:val="18"/>
              </w:rPr>
              <w:t>5263</w:t>
            </w:r>
            <w:r w:rsidR="00950BDF" w:rsidRPr="00A16FA9">
              <w:rPr>
                <w:rFonts w:ascii="Times New Roman" w:hAnsi="Times New Roman" w:cs="Times New Roman"/>
                <w:color w:val="000000"/>
                <w:sz w:val="20"/>
                <w:szCs w:val="18"/>
              </w:rPr>
              <w:t>821</w:t>
            </w:r>
          </w:p>
        </w:tc>
        <w:tc>
          <w:tcPr>
            <w:tcW w:w="0" w:type="auto"/>
            <w:tcBorders>
              <w:bottom w:val="single" w:sz="12" w:space="0" w:color="auto"/>
            </w:tcBorders>
            <w:shd w:val="clear" w:color="auto" w:fill="auto"/>
            <w:vAlign w:val="center"/>
          </w:tcPr>
          <w:p w:rsidR="00950BDF" w:rsidRPr="00A16FA9" w:rsidRDefault="00A16FA9" w:rsidP="00A16FA9">
            <w:pPr>
              <w:spacing w:after="0" w:line="240" w:lineRule="auto"/>
              <w:ind w:left="-57" w:right="-57"/>
              <w:jc w:val="right"/>
              <w:rPr>
                <w:rFonts w:ascii="Times New Roman" w:hAnsi="Times New Roman" w:cs="Times New Roman"/>
                <w:color w:val="000000"/>
                <w:sz w:val="20"/>
                <w:szCs w:val="18"/>
              </w:rPr>
            </w:pPr>
            <w:r w:rsidRPr="00A16FA9">
              <w:rPr>
                <w:rFonts w:ascii="Times New Roman" w:hAnsi="Times New Roman" w:cs="Times New Roman"/>
                <w:color w:val="000000"/>
                <w:sz w:val="20"/>
                <w:szCs w:val="18"/>
              </w:rPr>
              <w:t>4211</w:t>
            </w:r>
            <w:r w:rsidR="00950BDF" w:rsidRPr="00A16FA9">
              <w:rPr>
                <w:rFonts w:ascii="Times New Roman" w:hAnsi="Times New Roman" w:cs="Times New Roman"/>
                <w:color w:val="000000"/>
                <w:sz w:val="20"/>
                <w:szCs w:val="18"/>
              </w:rPr>
              <w:t>057</w:t>
            </w:r>
          </w:p>
        </w:tc>
        <w:tc>
          <w:tcPr>
            <w:tcW w:w="0" w:type="auto"/>
            <w:tcBorders>
              <w:bottom w:val="single" w:sz="12" w:space="0" w:color="auto"/>
            </w:tcBorders>
            <w:shd w:val="clear" w:color="auto" w:fill="auto"/>
            <w:vAlign w:val="center"/>
          </w:tcPr>
          <w:p w:rsidR="00950BDF" w:rsidRPr="00A16FA9" w:rsidRDefault="00A16FA9" w:rsidP="00A16FA9">
            <w:pPr>
              <w:spacing w:after="0" w:line="240" w:lineRule="auto"/>
              <w:ind w:left="-57" w:right="-57"/>
              <w:jc w:val="right"/>
              <w:rPr>
                <w:rFonts w:ascii="Times New Roman" w:hAnsi="Times New Roman" w:cs="Times New Roman"/>
                <w:color w:val="000000"/>
                <w:sz w:val="20"/>
                <w:szCs w:val="18"/>
              </w:rPr>
            </w:pPr>
            <w:r w:rsidRPr="00A16FA9">
              <w:rPr>
                <w:rFonts w:ascii="Times New Roman" w:hAnsi="Times New Roman" w:cs="Times New Roman"/>
                <w:color w:val="000000"/>
                <w:sz w:val="20"/>
                <w:szCs w:val="18"/>
              </w:rPr>
              <w:t>3158</w:t>
            </w:r>
            <w:r w:rsidR="00950BDF" w:rsidRPr="00A16FA9">
              <w:rPr>
                <w:rFonts w:ascii="Times New Roman" w:hAnsi="Times New Roman" w:cs="Times New Roman"/>
                <w:color w:val="000000"/>
                <w:sz w:val="20"/>
                <w:szCs w:val="18"/>
              </w:rPr>
              <w:t>293</w:t>
            </w:r>
          </w:p>
        </w:tc>
      </w:tr>
      <w:tr w:rsidR="00950BDF" w:rsidRPr="00A16FA9" w:rsidTr="00A16FA9">
        <w:trPr>
          <w:jc w:val="center"/>
        </w:trPr>
        <w:tc>
          <w:tcPr>
            <w:tcW w:w="0" w:type="auto"/>
            <w:gridSpan w:val="8"/>
            <w:tcBorders>
              <w:top w:val="single" w:sz="12" w:space="0" w:color="auto"/>
              <w:bottom w:val="single" w:sz="4" w:space="0" w:color="auto"/>
            </w:tcBorders>
            <w:shd w:val="clear" w:color="auto" w:fill="auto"/>
            <w:vAlign w:val="bottom"/>
          </w:tcPr>
          <w:p w:rsidR="00950BDF" w:rsidRPr="00A16FA9" w:rsidRDefault="00950BDF" w:rsidP="00A16FA9">
            <w:pPr>
              <w:spacing w:after="0" w:line="240" w:lineRule="auto"/>
              <w:ind w:left="-57" w:right="-57"/>
              <w:jc w:val="center"/>
              <w:rPr>
                <w:rFonts w:ascii="Times New Roman" w:eastAsia="Times New Roman" w:hAnsi="Times New Roman" w:cs="Times New Roman"/>
                <w:i/>
                <w:color w:val="000000"/>
                <w:sz w:val="20"/>
                <w:szCs w:val="18"/>
              </w:rPr>
            </w:pPr>
            <w:r w:rsidRPr="00A16FA9">
              <w:rPr>
                <w:rFonts w:ascii="Times New Roman" w:eastAsia="Times New Roman" w:hAnsi="Times New Roman" w:cs="Times New Roman"/>
                <w:b/>
                <w:i/>
                <w:color w:val="000000"/>
                <w:sz w:val="20"/>
                <w:szCs w:val="18"/>
              </w:rPr>
              <w:t>Структура на собствения капитал</w:t>
            </w:r>
          </w:p>
        </w:tc>
      </w:tr>
      <w:tr w:rsidR="009F1CAF" w:rsidRPr="00A16FA9" w:rsidTr="00A16FA9">
        <w:trPr>
          <w:jc w:val="center"/>
        </w:trPr>
        <w:tc>
          <w:tcPr>
            <w:tcW w:w="0" w:type="auto"/>
            <w:tcBorders>
              <w:top w:val="single" w:sz="4" w:space="0" w:color="auto"/>
              <w:bottom w:val="single" w:sz="4" w:space="0" w:color="auto"/>
              <w:right w:val="single" w:sz="12" w:space="0" w:color="auto"/>
            </w:tcBorders>
            <w:shd w:val="clear" w:color="auto" w:fill="auto"/>
            <w:vAlign w:val="bottom"/>
          </w:tcPr>
          <w:p w:rsidR="009F1CAF" w:rsidRPr="00A16FA9" w:rsidRDefault="009F1CAF" w:rsidP="00A16FA9">
            <w:pPr>
              <w:spacing w:after="0" w:line="240" w:lineRule="auto"/>
              <w:ind w:left="-57" w:right="-57"/>
              <w:rPr>
                <w:rFonts w:ascii="Times New Roman" w:eastAsia="Times New Roman" w:hAnsi="Times New Roman" w:cs="Times New Roman"/>
                <w:color w:val="000000"/>
                <w:sz w:val="20"/>
                <w:szCs w:val="18"/>
              </w:rPr>
            </w:pPr>
            <w:r w:rsidRPr="00A16FA9">
              <w:rPr>
                <w:rFonts w:ascii="Times New Roman" w:eastAsia="Times New Roman" w:hAnsi="Times New Roman" w:cs="Times New Roman"/>
                <w:color w:val="000000"/>
                <w:sz w:val="20"/>
                <w:szCs w:val="18"/>
              </w:rPr>
              <w:t>Частен инвеститор</w:t>
            </w:r>
          </w:p>
        </w:tc>
        <w:tc>
          <w:tcPr>
            <w:tcW w:w="0" w:type="auto"/>
            <w:tcBorders>
              <w:left w:val="single" w:sz="12" w:space="0" w:color="auto"/>
            </w:tcBorders>
            <w:shd w:val="clear" w:color="auto" w:fill="auto"/>
          </w:tcPr>
          <w:p w:rsidR="009F1CAF" w:rsidRPr="00A16FA9" w:rsidRDefault="009F1CAF" w:rsidP="00A16FA9">
            <w:pPr>
              <w:spacing w:after="0" w:line="240" w:lineRule="auto"/>
              <w:ind w:left="-57" w:right="-57"/>
              <w:jc w:val="center"/>
              <w:rPr>
                <w:rFonts w:ascii="Times New Roman" w:eastAsia="Times New Roman" w:hAnsi="Times New Roman" w:cs="Times New Roman"/>
                <w:color w:val="000000"/>
                <w:sz w:val="20"/>
                <w:szCs w:val="18"/>
              </w:rPr>
            </w:pPr>
            <w:r w:rsidRPr="00A16FA9">
              <w:rPr>
                <w:rFonts w:ascii="Times New Roman" w:eastAsia="Times New Roman" w:hAnsi="Times New Roman" w:cs="Times New Roman"/>
                <w:color w:val="000000"/>
                <w:sz w:val="20"/>
                <w:szCs w:val="18"/>
              </w:rPr>
              <w:t>%</w:t>
            </w:r>
          </w:p>
        </w:tc>
        <w:tc>
          <w:tcPr>
            <w:tcW w:w="0" w:type="auto"/>
            <w:shd w:val="clear" w:color="auto" w:fill="auto"/>
            <w:vAlign w:val="center"/>
          </w:tcPr>
          <w:p w:rsidR="009F1CAF" w:rsidRPr="00A16FA9" w:rsidRDefault="009F1CAF" w:rsidP="00E6666C">
            <w:pPr>
              <w:spacing w:after="0" w:line="240" w:lineRule="auto"/>
              <w:ind w:left="-57" w:right="-57"/>
              <w:jc w:val="right"/>
              <w:rPr>
                <w:rFonts w:ascii="Times New Roman" w:eastAsia="Times New Roman" w:hAnsi="Times New Roman" w:cs="Times New Roman"/>
                <w:color w:val="000000"/>
                <w:sz w:val="20"/>
                <w:szCs w:val="18"/>
              </w:rPr>
            </w:pPr>
            <w:r w:rsidRPr="00A16FA9">
              <w:rPr>
                <w:rFonts w:ascii="Times New Roman" w:hAnsi="Times New Roman" w:cs="Times New Roman"/>
                <w:color w:val="000000"/>
                <w:sz w:val="20"/>
                <w:szCs w:val="18"/>
              </w:rPr>
              <w:t>100</w:t>
            </w:r>
            <w:r w:rsidR="002A0227">
              <w:rPr>
                <w:rFonts w:ascii="Times New Roman" w:hAnsi="Times New Roman" w:cs="Times New Roman"/>
                <w:color w:val="000000"/>
                <w:sz w:val="20"/>
                <w:szCs w:val="18"/>
                <w:lang w:val="en-US"/>
              </w:rPr>
              <w:t>.</w:t>
            </w:r>
            <w:r w:rsidRPr="00A16FA9">
              <w:rPr>
                <w:rFonts w:ascii="Times New Roman" w:hAnsi="Times New Roman" w:cs="Times New Roman"/>
                <w:color w:val="000000"/>
                <w:sz w:val="20"/>
                <w:szCs w:val="18"/>
              </w:rPr>
              <w:t>00</w:t>
            </w:r>
          </w:p>
        </w:tc>
        <w:tc>
          <w:tcPr>
            <w:tcW w:w="0" w:type="auto"/>
            <w:shd w:val="clear" w:color="auto" w:fill="auto"/>
            <w:vAlign w:val="center"/>
          </w:tcPr>
          <w:p w:rsidR="009F1CAF" w:rsidRPr="00A16FA9" w:rsidRDefault="009F1CAF" w:rsidP="00A16FA9">
            <w:pPr>
              <w:spacing w:after="0" w:line="240" w:lineRule="auto"/>
              <w:ind w:left="-57" w:right="-57"/>
              <w:jc w:val="right"/>
              <w:rPr>
                <w:rFonts w:ascii="Times New Roman" w:eastAsia="Times New Roman" w:hAnsi="Times New Roman" w:cs="Times New Roman"/>
                <w:color w:val="000000"/>
                <w:sz w:val="20"/>
                <w:szCs w:val="18"/>
              </w:rPr>
            </w:pPr>
            <w:r w:rsidRPr="00A16FA9">
              <w:rPr>
                <w:rFonts w:ascii="Times New Roman" w:hAnsi="Times New Roman" w:cs="Times New Roman"/>
                <w:color w:val="000000"/>
                <w:sz w:val="20"/>
                <w:szCs w:val="18"/>
              </w:rPr>
              <w:t>100</w:t>
            </w:r>
            <w:r w:rsidR="002A0227">
              <w:rPr>
                <w:rFonts w:ascii="Times New Roman" w:hAnsi="Times New Roman" w:cs="Times New Roman"/>
                <w:color w:val="000000"/>
                <w:sz w:val="20"/>
                <w:szCs w:val="18"/>
              </w:rPr>
              <w:t>.</w:t>
            </w:r>
            <w:r w:rsidRPr="00A16FA9">
              <w:rPr>
                <w:rFonts w:ascii="Times New Roman" w:hAnsi="Times New Roman" w:cs="Times New Roman"/>
                <w:color w:val="000000"/>
                <w:sz w:val="20"/>
                <w:szCs w:val="18"/>
              </w:rPr>
              <w:t>00</w:t>
            </w:r>
          </w:p>
        </w:tc>
        <w:tc>
          <w:tcPr>
            <w:tcW w:w="0" w:type="auto"/>
            <w:shd w:val="clear" w:color="auto" w:fill="auto"/>
            <w:vAlign w:val="center"/>
          </w:tcPr>
          <w:p w:rsidR="009F1CAF" w:rsidRPr="00A16FA9" w:rsidRDefault="009F1CAF" w:rsidP="00A16FA9">
            <w:pPr>
              <w:spacing w:after="0" w:line="240" w:lineRule="auto"/>
              <w:ind w:left="-57" w:right="-57"/>
              <w:jc w:val="right"/>
              <w:rPr>
                <w:rFonts w:ascii="Times New Roman" w:eastAsia="Times New Roman" w:hAnsi="Times New Roman" w:cs="Times New Roman"/>
                <w:color w:val="000000"/>
                <w:sz w:val="20"/>
                <w:szCs w:val="18"/>
              </w:rPr>
            </w:pPr>
            <w:r w:rsidRPr="00A16FA9">
              <w:rPr>
                <w:rFonts w:ascii="Times New Roman" w:hAnsi="Times New Roman" w:cs="Times New Roman"/>
                <w:color w:val="000000"/>
                <w:sz w:val="20"/>
                <w:szCs w:val="18"/>
              </w:rPr>
              <w:t>100</w:t>
            </w:r>
            <w:r w:rsidR="002A0227">
              <w:rPr>
                <w:rFonts w:ascii="Times New Roman" w:hAnsi="Times New Roman" w:cs="Times New Roman"/>
                <w:color w:val="000000"/>
                <w:sz w:val="20"/>
                <w:szCs w:val="18"/>
              </w:rPr>
              <w:t>.</w:t>
            </w:r>
            <w:r w:rsidRPr="00A16FA9">
              <w:rPr>
                <w:rFonts w:ascii="Times New Roman" w:hAnsi="Times New Roman" w:cs="Times New Roman"/>
                <w:color w:val="000000"/>
                <w:sz w:val="20"/>
                <w:szCs w:val="18"/>
              </w:rPr>
              <w:t>00</w:t>
            </w:r>
          </w:p>
        </w:tc>
        <w:tc>
          <w:tcPr>
            <w:tcW w:w="0" w:type="auto"/>
            <w:shd w:val="clear" w:color="auto" w:fill="auto"/>
            <w:vAlign w:val="center"/>
          </w:tcPr>
          <w:p w:rsidR="009F1CAF" w:rsidRPr="00A16FA9" w:rsidRDefault="009F1CAF" w:rsidP="00A16FA9">
            <w:pPr>
              <w:spacing w:after="0" w:line="240" w:lineRule="auto"/>
              <w:ind w:left="-57" w:right="-57"/>
              <w:jc w:val="right"/>
              <w:rPr>
                <w:rFonts w:ascii="Times New Roman" w:eastAsia="Times New Roman" w:hAnsi="Times New Roman" w:cs="Times New Roman"/>
                <w:color w:val="000000"/>
                <w:sz w:val="20"/>
                <w:szCs w:val="18"/>
              </w:rPr>
            </w:pPr>
            <w:r w:rsidRPr="00A16FA9">
              <w:rPr>
                <w:rFonts w:ascii="Times New Roman" w:hAnsi="Times New Roman" w:cs="Times New Roman"/>
                <w:color w:val="000000"/>
                <w:sz w:val="20"/>
                <w:szCs w:val="18"/>
              </w:rPr>
              <w:t>77</w:t>
            </w:r>
            <w:r w:rsidR="002A0227">
              <w:rPr>
                <w:rFonts w:ascii="Times New Roman" w:hAnsi="Times New Roman" w:cs="Times New Roman"/>
                <w:color w:val="000000"/>
                <w:sz w:val="20"/>
                <w:szCs w:val="18"/>
              </w:rPr>
              <w:t>.</w:t>
            </w:r>
            <w:r w:rsidRPr="00A16FA9">
              <w:rPr>
                <w:rFonts w:ascii="Times New Roman" w:hAnsi="Times New Roman" w:cs="Times New Roman"/>
                <w:color w:val="000000"/>
                <w:sz w:val="20"/>
                <w:szCs w:val="18"/>
              </w:rPr>
              <w:t>71</w:t>
            </w:r>
          </w:p>
        </w:tc>
        <w:tc>
          <w:tcPr>
            <w:tcW w:w="0" w:type="auto"/>
            <w:shd w:val="clear" w:color="auto" w:fill="auto"/>
            <w:vAlign w:val="center"/>
          </w:tcPr>
          <w:p w:rsidR="009F1CAF" w:rsidRPr="00A16FA9" w:rsidRDefault="009F1CAF" w:rsidP="00A16FA9">
            <w:pPr>
              <w:spacing w:after="0" w:line="240" w:lineRule="auto"/>
              <w:ind w:left="-57" w:right="-57"/>
              <w:jc w:val="right"/>
              <w:rPr>
                <w:rFonts w:ascii="Times New Roman" w:eastAsia="Times New Roman" w:hAnsi="Times New Roman" w:cs="Times New Roman"/>
                <w:color w:val="000000"/>
                <w:sz w:val="20"/>
                <w:szCs w:val="18"/>
              </w:rPr>
            </w:pPr>
            <w:r w:rsidRPr="00A16FA9">
              <w:rPr>
                <w:rFonts w:ascii="Times New Roman" w:hAnsi="Times New Roman" w:cs="Times New Roman"/>
                <w:color w:val="000000"/>
                <w:sz w:val="20"/>
                <w:szCs w:val="18"/>
              </w:rPr>
              <w:t>72</w:t>
            </w:r>
            <w:r w:rsidR="002A0227">
              <w:rPr>
                <w:rFonts w:ascii="Times New Roman" w:hAnsi="Times New Roman" w:cs="Times New Roman"/>
                <w:color w:val="000000"/>
                <w:sz w:val="20"/>
                <w:szCs w:val="18"/>
              </w:rPr>
              <w:t>.</w:t>
            </w:r>
            <w:r w:rsidRPr="00A16FA9">
              <w:rPr>
                <w:rFonts w:ascii="Times New Roman" w:hAnsi="Times New Roman" w:cs="Times New Roman"/>
                <w:color w:val="000000"/>
                <w:sz w:val="20"/>
                <w:szCs w:val="18"/>
              </w:rPr>
              <w:t>13</w:t>
            </w:r>
          </w:p>
        </w:tc>
        <w:tc>
          <w:tcPr>
            <w:tcW w:w="0" w:type="auto"/>
            <w:shd w:val="clear" w:color="auto" w:fill="auto"/>
            <w:vAlign w:val="center"/>
          </w:tcPr>
          <w:p w:rsidR="009F1CAF" w:rsidRPr="00A16FA9" w:rsidRDefault="009F1CAF" w:rsidP="00A16FA9">
            <w:pPr>
              <w:spacing w:after="0" w:line="240" w:lineRule="auto"/>
              <w:ind w:left="-57" w:right="-57"/>
              <w:jc w:val="right"/>
              <w:rPr>
                <w:rFonts w:ascii="Times New Roman" w:eastAsia="Times New Roman" w:hAnsi="Times New Roman" w:cs="Times New Roman"/>
                <w:color w:val="000000"/>
                <w:sz w:val="20"/>
                <w:szCs w:val="18"/>
              </w:rPr>
            </w:pPr>
            <w:r w:rsidRPr="00A16FA9">
              <w:rPr>
                <w:rFonts w:ascii="Times New Roman" w:hAnsi="Times New Roman" w:cs="Times New Roman"/>
                <w:color w:val="000000"/>
                <w:sz w:val="20"/>
                <w:szCs w:val="18"/>
              </w:rPr>
              <w:t>62</w:t>
            </w:r>
            <w:r w:rsidR="002A0227">
              <w:rPr>
                <w:rFonts w:ascii="Times New Roman" w:hAnsi="Times New Roman" w:cs="Times New Roman"/>
                <w:color w:val="000000"/>
                <w:sz w:val="20"/>
                <w:szCs w:val="18"/>
              </w:rPr>
              <w:t>.</w:t>
            </w:r>
            <w:r w:rsidRPr="00A16FA9">
              <w:rPr>
                <w:rFonts w:ascii="Times New Roman" w:hAnsi="Times New Roman" w:cs="Times New Roman"/>
                <w:color w:val="000000"/>
                <w:sz w:val="20"/>
                <w:szCs w:val="18"/>
              </w:rPr>
              <w:t>84</w:t>
            </w:r>
          </w:p>
        </w:tc>
      </w:tr>
      <w:tr w:rsidR="009F1CAF" w:rsidRPr="00A16FA9" w:rsidTr="00A16FA9">
        <w:trPr>
          <w:jc w:val="center"/>
        </w:trPr>
        <w:tc>
          <w:tcPr>
            <w:tcW w:w="0" w:type="auto"/>
            <w:tcBorders>
              <w:top w:val="single" w:sz="4" w:space="0" w:color="auto"/>
              <w:bottom w:val="single" w:sz="4" w:space="0" w:color="auto"/>
              <w:right w:val="single" w:sz="12" w:space="0" w:color="auto"/>
            </w:tcBorders>
            <w:shd w:val="clear" w:color="auto" w:fill="auto"/>
            <w:vAlign w:val="bottom"/>
          </w:tcPr>
          <w:p w:rsidR="009F1CAF" w:rsidRPr="00A16FA9" w:rsidRDefault="009F1CAF" w:rsidP="00A16FA9">
            <w:pPr>
              <w:spacing w:after="0" w:line="240" w:lineRule="auto"/>
              <w:ind w:left="-57" w:right="-57"/>
              <w:rPr>
                <w:rFonts w:ascii="Times New Roman" w:eastAsia="Times New Roman" w:hAnsi="Times New Roman" w:cs="Times New Roman"/>
                <w:color w:val="000000"/>
                <w:sz w:val="20"/>
                <w:szCs w:val="18"/>
              </w:rPr>
            </w:pPr>
            <w:r w:rsidRPr="00A16FA9">
              <w:rPr>
                <w:rFonts w:ascii="Times New Roman" w:eastAsia="Times New Roman" w:hAnsi="Times New Roman" w:cs="Times New Roman"/>
                <w:color w:val="000000"/>
                <w:sz w:val="20"/>
                <w:szCs w:val="18"/>
              </w:rPr>
              <w:t xml:space="preserve">Държава </w:t>
            </w:r>
          </w:p>
        </w:tc>
        <w:tc>
          <w:tcPr>
            <w:tcW w:w="0" w:type="auto"/>
            <w:tcBorders>
              <w:left w:val="single" w:sz="12" w:space="0" w:color="auto"/>
            </w:tcBorders>
            <w:shd w:val="clear" w:color="auto" w:fill="auto"/>
          </w:tcPr>
          <w:p w:rsidR="009F1CAF" w:rsidRPr="00A16FA9" w:rsidRDefault="009F1CAF" w:rsidP="00A16FA9">
            <w:pPr>
              <w:spacing w:after="0" w:line="240" w:lineRule="auto"/>
              <w:ind w:left="-57" w:right="-57"/>
              <w:jc w:val="center"/>
              <w:rPr>
                <w:rFonts w:ascii="Times New Roman" w:eastAsia="Times New Roman" w:hAnsi="Times New Roman" w:cs="Times New Roman"/>
                <w:color w:val="000000"/>
                <w:sz w:val="20"/>
                <w:szCs w:val="18"/>
              </w:rPr>
            </w:pPr>
            <w:r w:rsidRPr="00A16FA9">
              <w:rPr>
                <w:rFonts w:ascii="Times New Roman" w:eastAsia="Times New Roman" w:hAnsi="Times New Roman" w:cs="Times New Roman"/>
                <w:color w:val="000000"/>
                <w:sz w:val="20"/>
                <w:szCs w:val="18"/>
              </w:rPr>
              <w:t>%</w:t>
            </w:r>
          </w:p>
        </w:tc>
        <w:tc>
          <w:tcPr>
            <w:tcW w:w="0" w:type="auto"/>
            <w:shd w:val="clear" w:color="auto" w:fill="auto"/>
            <w:vAlign w:val="center"/>
          </w:tcPr>
          <w:p w:rsidR="009F1CAF" w:rsidRPr="00A16FA9" w:rsidRDefault="009F1CAF" w:rsidP="00A16FA9">
            <w:pPr>
              <w:spacing w:after="0" w:line="240" w:lineRule="auto"/>
              <w:ind w:left="-57" w:right="-57"/>
              <w:jc w:val="right"/>
              <w:rPr>
                <w:rFonts w:ascii="Times New Roman" w:hAnsi="Times New Roman" w:cs="Times New Roman"/>
                <w:color w:val="000000"/>
                <w:sz w:val="20"/>
                <w:szCs w:val="18"/>
              </w:rPr>
            </w:pPr>
            <w:r w:rsidRPr="00A16FA9">
              <w:rPr>
                <w:rFonts w:ascii="Times New Roman" w:hAnsi="Times New Roman" w:cs="Times New Roman"/>
                <w:color w:val="000000"/>
                <w:sz w:val="20"/>
                <w:szCs w:val="18"/>
              </w:rPr>
              <w:t>0</w:t>
            </w:r>
            <w:r w:rsidR="002A0227">
              <w:rPr>
                <w:rFonts w:ascii="Times New Roman" w:hAnsi="Times New Roman" w:cs="Times New Roman"/>
                <w:color w:val="000000"/>
                <w:sz w:val="20"/>
                <w:szCs w:val="18"/>
                <w:lang w:val="en-US"/>
              </w:rPr>
              <w:t>.</w:t>
            </w:r>
            <w:r w:rsidRPr="00A16FA9">
              <w:rPr>
                <w:rFonts w:ascii="Times New Roman" w:hAnsi="Times New Roman" w:cs="Times New Roman"/>
                <w:color w:val="000000"/>
                <w:sz w:val="20"/>
                <w:szCs w:val="18"/>
              </w:rPr>
              <w:t>00</w:t>
            </w:r>
          </w:p>
        </w:tc>
        <w:tc>
          <w:tcPr>
            <w:tcW w:w="0" w:type="auto"/>
            <w:shd w:val="clear" w:color="auto" w:fill="auto"/>
            <w:vAlign w:val="center"/>
          </w:tcPr>
          <w:p w:rsidR="009F1CAF" w:rsidRPr="00A16FA9" w:rsidRDefault="009F1CAF" w:rsidP="00A16FA9">
            <w:pPr>
              <w:spacing w:after="0" w:line="240" w:lineRule="auto"/>
              <w:ind w:left="-57" w:right="-57"/>
              <w:jc w:val="right"/>
              <w:rPr>
                <w:rFonts w:ascii="Times New Roman" w:hAnsi="Times New Roman" w:cs="Times New Roman"/>
                <w:color w:val="000000"/>
                <w:sz w:val="20"/>
                <w:szCs w:val="18"/>
              </w:rPr>
            </w:pPr>
            <w:r w:rsidRPr="00A16FA9">
              <w:rPr>
                <w:rFonts w:ascii="Times New Roman" w:hAnsi="Times New Roman" w:cs="Times New Roman"/>
                <w:color w:val="000000"/>
                <w:sz w:val="20"/>
                <w:szCs w:val="18"/>
              </w:rPr>
              <w:t>0</w:t>
            </w:r>
            <w:r w:rsidR="002A0227">
              <w:rPr>
                <w:rFonts w:ascii="Times New Roman" w:hAnsi="Times New Roman" w:cs="Times New Roman"/>
                <w:color w:val="000000"/>
                <w:sz w:val="20"/>
                <w:szCs w:val="18"/>
              </w:rPr>
              <w:t>.</w:t>
            </w:r>
            <w:r w:rsidRPr="00A16FA9">
              <w:rPr>
                <w:rFonts w:ascii="Times New Roman" w:hAnsi="Times New Roman" w:cs="Times New Roman"/>
                <w:color w:val="000000"/>
                <w:sz w:val="20"/>
                <w:szCs w:val="18"/>
              </w:rPr>
              <w:t>00</w:t>
            </w:r>
          </w:p>
        </w:tc>
        <w:tc>
          <w:tcPr>
            <w:tcW w:w="0" w:type="auto"/>
            <w:shd w:val="clear" w:color="auto" w:fill="auto"/>
            <w:vAlign w:val="center"/>
          </w:tcPr>
          <w:p w:rsidR="009F1CAF" w:rsidRPr="00A16FA9" w:rsidRDefault="009F1CAF" w:rsidP="00A16FA9">
            <w:pPr>
              <w:spacing w:after="0" w:line="240" w:lineRule="auto"/>
              <w:ind w:left="-57" w:right="-57"/>
              <w:jc w:val="right"/>
              <w:rPr>
                <w:rFonts w:ascii="Times New Roman" w:hAnsi="Times New Roman" w:cs="Times New Roman"/>
                <w:color w:val="000000"/>
                <w:sz w:val="20"/>
                <w:szCs w:val="18"/>
              </w:rPr>
            </w:pPr>
            <w:r w:rsidRPr="00A16FA9">
              <w:rPr>
                <w:rFonts w:ascii="Times New Roman" w:hAnsi="Times New Roman" w:cs="Times New Roman"/>
                <w:color w:val="000000"/>
                <w:sz w:val="20"/>
                <w:szCs w:val="18"/>
              </w:rPr>
              <w:t>0</w:t>
            </w:r>
            <w:r w:rsidR="002A0227">
              <w:rPr>
                <w:rFonts w:ascii="Times New Roman" w:hAnsi="Times New Roman" w:cs="Times New Roman"/>
                <w:color w:val="000000"/>
                <w:sz w:val="20"/>
                <w:szCs w:val="18"/>
              </w:rPr>
              <w:t>.</w:t>
            </w:r>
            <w:r w:rsidRPr="00A16FA9">
              <w:rPr>
                <w:rFonts w:ascii="Times New Roman" w:hAnsi="Times New Roman" w:cs="Times New Roman"/>
                <w:color w:val="000000"/>
                <w:sz w:val="20"/>
                <w:szCs w:val="18"/>
              </w:rPr>
              <w:t>00</w:t>
            </w:r>
          </w:p>
        </w:tc>
        <w:tc>
          <w:tcPr>
            <w:tcW w:w="0" w:type="auto"/>
            <w:shd w:val="clear" w:color="auto" w:fill="auto"/>
            <w:vAlign w:val="center"/>
          </w:tcPr>
          <w:p w:rsidR="009F1CAF" w:rsidRPr="00A16FA9" w:rsidRDefault="009F1CAF" w:rsidP="00A16FA9">
            <w:pPr>
              <w:spacing w:after="0" w:line="240" w:lineRule="auto"/>
              <w:ind w:left="-57" w:right="-57"/>
              <w:jc w:val="right"/>
              <w:rPr>
                <w:rFonts w:ascii="Times New Roman" w:eastAsia="Times New Roman" w:hAnsi="Times New Roman" w:cs="Times New Roman"/>
                <w:bCs/>
                <w:color w:val="000000"/>
                <w:sz w:val="20"/>
                <w:szCs w:val="18"/>
              </w:rPr>
            </w:pPr>
            <w:r w:rsidRPr="00A16FA9">
              <w:rPr>
                <w:rFonts w:ascii="Times New Roman" w:hAnsi="Times New Roman" w:cs="Times New Roman"/>
                <w:color w:val="000000"/>
                <w:sz w:val="20"/>
                <w:szCs w:val="18"/>
              </w:rPr>
              <w:t>22</w:t>
            </w:r>
            <w:r w:rsidR="002A0227">
              <w:rPr>
                <w:rFonts w:ascii="Times New Roman" w:hAnsi="Times New Roman" w:cs="Times New Roman"/>
                <w:color w:val="000000"/>
                <w:sz w:val="20"/>
                <w:szCs w:val="18"/>
              </w:rPr>
              <w:t>.</w:t>
            </w:r>
            <w:r w:rsidRPr="00A16FA9">
              <w:rPr>
                <w:rFonts w:ascii="Times New Roman" w:hAnsi="Times New Roman" w:cs="Times New Roman"/>
                <w:color w:val="000000"/>
                <w:sz w:val="20"/>
                <w:szCs w:val="18"/>
              </w:rPr>
              <w:t>29</w:t>
            </w:r>
          </w:p>
        </w:tc>
        <w:tc>
          <w:tcPr>
            <w:tcW w:w="0" w:type="auto"/>
            <w:shd w:val="clear" w:color="auto" w:fill="auto"/>
            <w:vAlign w:val="center"/>
          </w:tcPr>
          <w:p w:rsidR="009F1CAF" w:rsidRPr="00A16FA9" w:rsidRDefault="009F1CAF" w:rsidP="00A16FA9">
            <w:pPr>
              <w:spacing w:after="0" w:line="240" w:lineRule="auto"/>
              <w:ind w:left="-57" w:right="-57"/>
              <w:jc w:val="right"/>
              <w:rPr>
                <w:rFonts w:ascii="Times New Roman" w:eastAsia="Times New Roman" w:hAnsi="Times New Roman" w:cs="Times New Roman"/>
                <w:bCs/>
                <w:color w:val="000000"/>
                <w:sz w:val="20"/>
                <w:szCs w:val="18"/>
              </w:rPr>
            </w:pPr>
            <w:r w:rsidRPr="00A16FA9">
              <w:rPr>
                <w:rFonts w:ascii="Times New Roman" w:hAnsi="Times New Roman" w:cs="Times New Roman"/>
                <w:color w:val="000000"/>
                <w:sz w:val="20"/>
                <w:szCs w:val="18"/>
              </w:rPr>
              <w:t>27</w:t>
            </w:r>
            <w:r w:rsidR="002A0227">
              <w:rPr>
                <w:rFonts w:ascii="Times New Roman" w:hAnsi="Times New Roman" w:cs="Times New Roman"/>
                <w:color w:val="000000"/>
                <w:sz w:val="20"/>
                <w:szCs w:val="18"/>
              </w:rPr>
              <w:t>.</w:t>
            </w:r>
            <w:r w:rsidRPr="00A16FA9">
              <w:rPr>
                <w:rFonts w:ascii="Times New Roman" w:hAnsi="Times New Roman" w:cs="Times New Roman"/>
                <w:color w:val="000000"/>
                <w:sz w:val="20"/>
                <w:szCs w:val="18"/>
              </w:rPr>
              <w:t>87</w:t>
            </w:r>
          </w:p>
        </w:tc>
        <w:tc>
          <w:tcPr>
            <w:tcW w:w="0" w:type="auto"/>
            <w:shd w:val="clear" w:color="auto" w:fill="auto"/>
            <w:vAlign w:val="center"/>
          </w:tcPr>
          <w:p w:rsidR="009F1CAF" w:rsidRPr="00A16FA9" w:rsidRDefault="009F1CAF" w:rsidP="00A16FA9">
            <w:pPr>
              <w:spacing w:after="0" w:line="240" w:lineRule="auto"/>
              <w:ind w:left="-57" w:right="-57"/>
              <w:jc w:val="right"/>
              <w:rPr>
                <w:rFonts w:ascii="Times New Roman" w:eastAsia="Times New Roman" w:hAnsi="Times New Roman" w:cs="Times New Roman"/>
                <w:bCs/>
                <w:color w:val="000000"/>
                <w:sz w:val="20"/>
                <w:szCs w:val="18"/>
              </w:rPr>
            </w:pPr>
            <w:r w:rsidRPr="00A16FA9">
              <w:rPr>
                <w:rFonts w:ascii="Times New Roman" w:hAnsi="Times New Roman" w:cs="Times New Roman"/>
                <w:color w:val="000000"/>
                <w:sz w:val="20"/>
                <w:szCs w:val="18"/>
              </w:rPr>
              <w:t>37</w:t>
            </w:r>
            <w:r w:rsidR="002A0227">
              <w:rPr>
                <w:rFonts w:ascii="Times New Roman" w:hAnsi="Times New Roman" w:cs="Times New Roman"/>
                <w:color w:val="000000"/>
                <w:sz w:val="20"/>
                <w:szCs w:val="18"/>
              </w:rPr>
              <w:t>.</w:t>
            </w:r>
            <w:r w:rsidRPr="00A16FA9">
              <w:rPr>
                <w:rFonts w:ascii="Times New Roman" w:hAnsi="Times New Roman" w:cs="Times New Roman"/>
                <w:color w:val="000000"/>
                <w:sz w:val="20"/>
                <w:szCs w:val="18"/>
              </w:rPr>
              <w:t>16</w:t>
            </w:r>
          </w:p>
        </w:tc>
      </w:tr>
      <w:tr w:rsidR="009F1CAF" w:rsidRPr="00A16FA9" w:rsidTr="00A16FA9">
        <w:trPr>
          <w:jc w:val="center"/>
        </w:trPr>
        <w:tc>
          <w:tcPr>
            <w:tcW w:w="0" w:type="auto"/>
            <w:tcBorders>
              <w:top w:val="single" w:sz="4" w:space="0" w:color="auto"/>
              <w:bottom w:val="single" w:sz="12" w:space="0" w:color="auto"/>
              <w:right w:val="single" w:sz="12" w:space="0" w:color="auto"/>
            </w:tcBorders>
            <w:shd w:val="clear" w:color="auto" w:fill="auto"/>
            <w:vAlign w:val="bottom"/>
          </w:tcPr>
          <w:p w:rsidR="009F1CAF" w:rsidRPr="00A16FA9" w:rsidRDefault="009F1CAF" w:rsidP="00A16FA9">
            <w:pPr>
              <w:spacing w:after="0" w:line="240" w:lineRule="auto"/>
              <w:ind w:left="-57" w:right="-57"/>
              <w:rPr>
                <w:rFonts w:ascii="Times New Roman" w:eastAsia="Times New Roman" w:hAnsi="Times New Roman" w:cs="Times New Roman"/>
                <w:color w:val="000000"/>
                <w:sz w:val="20"/>
                <w:szCs w:val="18"/>
              </w:rPr>
            </w:pPr>
            <w:r w:rsidRPr="00A16FA9">
              <w:rPr>
                <w:rFonts w:ascii="Times New Roman" w:eastAsia="Times New Roman" w:hAnsi="Times New Roman" w:cs="Times New Roman"/>
                <w:color w:val="000000"/>
                <w:sz w:val="20"/>
                <w:szCs w:val="18"/>
              </w:rPr>
              <w:t>Общо</w:t>
            </w:r>
          </w:p>
        </w:tc>
        <w:tc>
          <w:tcPr>
            <w:tcW w:w="0" w:type="auto"/>
            <w:tcBorders>
              <w:left w:val="single" w:sz="12" w:space="0" w:color="auto"/>
            </w:tcBorders>
            <w:shd w:val="clear" w:color="auto" w:fill="auto"/>
          </w:tcPr>
          <w:p w:rsidR="009F1CAF" w:rsidRPr="00A16FA9" w:rsidRDefault="009F1CAF" w:rsidP="00A16FA9">
            <w:pPr>
              <w:spacing w:after="0" w:line="240" w:lineRule="auto"/>
              <w:ind w:left="-57" w:right="-57"/>
              <w:jc w:val="center"/>
              <w:rPr>
                <w:rFonts w:ascii="Times New Roman" w:eastAsia="Times New Roman" w:hAnsi="Times New Roman" w:cs="Times New Roman"/>
                <w:color w:val="000000"/>
                <w:sz w:val="20"/>
                <w:szCs w:val="18"/>
              </w:rPr>
            </w:pPr>
            <w:r w:rsidRPr="00A16FA9">
              <w:rPr>
                <w:rFonts w:ascii="Times New Roman" w:eastAsia="Times New Roman" w:hAnsi="Times New Roman" w:cs="Times New Roman"/>
                <w:color w:val="000000"/>
                <w:sz w:val="20"/>
                <w:szCs w:val="18"/>
              </w:rPr>
              <w:t>%</w:t>
            </w:r>
          </w:p>
        </w:tc>
        <w:tc>
          <w:tcPr>
            <w:tcW w:w="0" w:type="auto"/>
            <w:shd w:val="clear" w:color="auto" w:fill="auto"/>
            <w:vAlign w:val="center"/>
          </w:tcPr>
          <w:p w:rsidR="009F1CAF" w:rsidRPr="00A16FA9" w:rsidRDefault="009F1CAF" w:rsidP="00A16FA9">
            <w:pPr>
              <w:spacing w:after="0" w:line="240" w:lineRule="auto"/>
              <w:ind w:left="-57" w:right="-57"/>
              <w:jc w:val="right"/>
              <w:rPr>
                <w:rFonts w:ascii="Times New Roman" w:hAnsi="Times New Roman" w:cs="Times New Roman"/>
                <w:color w:val="000000"/>
                <w:sz w:val="20"/>
                <w:szCs w:val="18"/>
              </w:rPr>
            </w:pPr>
            <w:r w:rsidRPr="00A16FA9">
              <w:rPr>
                <w:rFonts w:ascii="Times New Roman" w:hAnsi="Times New Roman" w:cs="Times New Roman"/>
                <w:color w:val="000000"/>
                <w:sz w:val="20"/>
                <w:szCs w:val="18"/>
              </w:rPr>
              <w:t>100</w:t>
            </w:r>
            <w:r w:rsidR="002A0227">
              <w:rPr>
                <w:rFonts w:ascii="Times New Roman" w:hAnsi="Times New Roman" w:cs="Times New Roman"/>
                <w:color w:val="000000"/>
                <w:sz w:val="20"/>
                <w:szCs w:val="18"/>
                <w:lang w:val="en-US"/>
              </w:rPr>
              <w:t>.</w:t>
            </w:r>
            <w:r w:rsidRPr="00A16FA9">
              <w:rPr>
                <w:rFonts w:ascii="Times New Roman" w:hAnsi="Times New Roman" w:cs="Times New Roman"/>
                <w:color w:val="000000"/>
                <w:sz w:val="20"/>
                <w:szCs w:val="18"/>
              </w:rPr>
              <w:t>00</w:t>
            </w:r>
          </w:p>
        </w:tc>
        <w:tc>
          <w:tcPr>
            <w:tcW w:w="0" w:type="auto"/>
            <w:shd w:val="clear" w:color="auto" w:fill="auto"/>
            <w:vAlign w:val="center"/>
          </w:tcPr>
          <w:p w:rsidR="009F1CAF" w:rsidRPr="00A16FA9" w:rsidRDefault="009F1CAF" w:rsidP="00A16FA9">
            <w:pPr>
              <w:spacing w:after="0" w:line="240" w:lineRule="auto"/>
              <w:ind w:left="-57" w:right="-57"/>
              <w:jc w:val="right"/>
              <w:rPr>
                <w:rFonts w:ascii="Times New Roman" w:eastAsia="Times New Roman" w:hAnsi="Times New Roman" w:cs="Times New Roman"/>
                <w:bCs/>
                <w:color w:val="000000"/>
                <w:sz w:val="20"/>
                <w:szCs w:val="18"/>
              </w:rPr>
            </w:pPr>
            <w:r w:rsidRPr="00A16FA9">
              <w:rPr>
                <w:rFonts w:ascii="Times New Roman" w:hAnsi="Times New Roman" w:cs="Times New Roman"/>
                <w:color w:val="000000"/>
                <w:sz w:val="20"/>
                <w:szCs w:val="18"/>
              </w:rPr>
              <w:t>100</w:t>
            </w:r>
            <w:r w:rsidR="002A0227">
              <w:rPr>
                <w:rFonts w:ascii="Times New Roman" w:hAnsi="Times New Roman" w:cs="Times New Roman"/>
                <w:color w:val="000000"/>
                <w:sz w:val="20"/>
                <w:szCs w:val="18"/>
              </w:rPr>
              <w:t>.</w:t>
            </w:r>
            <w:r w:rsidRPr="00A16FA9">
              <w:rPr>
                <w:rFonts w:ascii="Times New Roman" w:hAnsi="Times New Roman" w:cs="Times New Roman"/>
                <w:color w:val="000000"/>
                <w:sz w:val="20"/>
                <w:szCs w:val="18"/>
              </w:rPr>
              <w:t>00</w:t>
            </w:r>
          </w:p>
        </w:tc>
        <w:tc>
          <w:tcPr>
            <w:tcW w:w="0" w:type="auto"/>
            <w:shd w:val="clear" w:color="auto" w:fill="auto"/>
            <w:vAlign w:val="center"/>
          </w:tcPr>
          <w:p w:rsidR="009F1CAF" w:rsidRPr="00A16FA9" w:rsidRDefault="009F1CAF" w:rsidP="00A16FA9">
            <w:pPr>
              <w:spacing w:after="0" w:line="240" w:lineRule="auto"/>
              <w:ind w:left="-57" w:right="-57"/>
              <w:jc w:val="right"/>
              <w:rPr>
                <w:rFonts w:ascii="Times New Roman" w:eastAsia="Times New Roman" w:hAnsi="Times New Roman" w:cs="Times New Roman"/>
                <w:bCs/>
                <w:color w:val="000000"/>
                <w:sz w:val="20"/>
                <w:szCs w:val="18"/>
              </w:rPr>
            </w:pPr>
            <w:r w:rsidRPr="00A16FA9">
              <w:rPr>
                <w:rFonts w:ascii="Times New Roman" w:hAnsi="Times New Roman" w:cs="Times New Roman"/>
                <w:color w:val="000000"/>
                <w:sz w:val="20"/>
                <w:szCs w:val="18"/>
              </w:rPr>
              <w:t>100</w:t>
            </w:r>
            <w:r w:rsidR="002A0227">
              <w:rPr>
                <w:rFonts w:ascii="Times New Roman" w:hAnsi="Times New Roman" w:cs="Times New Roman"/>
                <w:color w:val="000000"/>
                <w:sz w:val="20"/>
                <w:szCs w:val="18"/>
              </w:rPr>
              <w:t>.</w:t>
            </w:r>
            <w:r w:rsidRPr="00A16FA9">
              <w:rPr>
                <w:rFonts w:ascii="Times New Roman" w:hAnsi="Times New Roman" w:cs="Times New Roman"/>
                <w:color w:val="000000"/>
                <w:sz w:val="20"/>
                <w:szCs w:val="18"/>
              </w:rPr>
              <w:t>00</w:t>
            </w:r>
          </w:p>
        </w:tc>
        <w:tc>
          <w:tcPr>
            <w:tcW w:w="0" w:type="auto"/>
            <w:shd w:val="clear" w:color="auto" w:fill="auto"/>
            <w:vAlign w:val="center"/>
          </w:tcPr>
          <w:p w:rsidR="009F1CAF" w:rsidRPr="00A16FA9" w:rsidRDefault="009F1CAF" w:rsidP="00A16FA9">
            <w:pPr>
              <w:spacing w:after="0" w:line="240" w:lineRule="auto"/>
              <w:ind w:left="-57" w:right="-57"/>
              <w:jc w:val="right"/>
              <w:rPr>
                <w:rFonts w:ascii="Times New Roman" w:hAnsi="Times New Roman" w:cs="Times New Roman"/>
                <w:color w:val="000000"/>
                <w:sz w:val="20"/>
                <w:szCs w:val="18"/>
              </w:rPr>
            </w:pPr>
            <w:r w:rsidRPr="00A16FA9">
              <w:rPr>
                <w:rFonts w:ascii="Times New Roman" w:hAnsi="Times New Roman" w:cs="Times New Roman"/>
                <w:color w:val="000000"/>
                <w:sz w:val="20"/>
                <w:szCs w:val="18"/>
              </w:rPr>
              <w:t>100</w:t>
            </w:r>
            <w:r w:rsidR="002A0227">
              <w:rPr>
                <w:rFonts w:ascii="Times New Roman" w:hAnsi="Times New Roman" w:cs="Times New Roman"/>
                <w:color w:val="000000"/>
                <w:sz w:val="20"/>
                <w:szCs w:val="18"/>
              </w:rPr>
              <w:t>.</w:t>
            </w:r>
            <w:r w:rsidRPr="00A16FA9">
              <w:rPr>
                <w:rFonts w:ascii="Times New Roman" w:hAnsi="Times New Roman" w:cs="Times New Roman"/>
                <w:color w:val="000000"/>
                <w:sz w:val="20"/>
                <w:szCs w:val="18"/>
              </w:rPr>
              <w:t>00</w:t>
            </w:r>
          </w:p>
        </w:tc>
        <w:tc>
          <w:tcPr>
            <w:tcW w:w="0" w:type="auto"/>
            <w:shd w:val="clear" w:color="auto" w:fill="auto"/>
            <w:vAlign w:val="center"/>
          </w:tcPr>
          <w:p w:rsidR="009F1CAF" w:rsidRPr="00A16FA9" w:rsidRDefault="009F1CAF" w:rsidP="00A16FA9">
            <w:pPr>
              <w:spacing w:after="0" w:line="240" w:lineRule="auto"/>
              <w:ind w:left="-57" w:right="-57"/>
              <w:jc w:val="right"/>
              <w:rPr>
                <w:rFonts w:ascii="Times New Roman" w:eastAsia="Times New Roman" w:hAnsi="Times New Roman" w:cs="Times New Roman"/>
                <w:bCs/>
                <w:color w:val="000000"/>
                <w:sz w:val="20"/>
                <w:szCs w:val="18"/>
              </w:rPr>
            </w:pPr>
            <w:r w:rsidRPr="00A16FA9">
              <w:rPr>
                <w:rFonts w:ascii="Times New Roman" w:hAnsi="Times New Roman" w:cs="Times New Roman"/>
                <w:color w:val="000000"/>
                <w:sz w:val="20"/>
                <w:szCs w:val="18"/>
              </w:rPr>
              <w:t>100</w:t>
            </w:r>
            <w:r w:rsidR="002A0227">
              <w:rPr>
                <w:rFonts w:ascii="Times New Roman" w:hAnsi="Times New Roman" w:cs="Times New Roman"/>
                <w:color w:val="000000"/>
                <w:sz w:val="20"/>
                <w:szCs w:val="18"/>
              </w:rPr>
              <w:t>.</w:t>
            </w:r>
            <w:r w:rsidRPr="00A16FA9">
              <w:rPr>
                <w:rFonts w:ascii="Times New Roman" w:hAnsi="Times New Roman" w:cs="Times New Roman"/>
                <w:color w:val="000000"/>
                <w:sz w:val="20"/>
                <w:szCs w:val="18"/>
              </w:rPr>
              <w:t>00</w:t>
            </w:r>
          </w:p>
        </w:tc>
        <w:tc>
          <w:tcPr>
            <w:tcW w:w="0" w:type="auto"/>
            <w:shd w:val="clear" w:color="auto" w:fill="auto"/>
            <w:vAlign w:val="center"/>
          </w:tcPr>
          <w:p w:rsidR="009F1CAF" w:rsidRPr="00A16FA9" w:rsidRDefault="009F1CAF" w:rsidP="00A16FA9">
            <w:pPr>
              <w:spacing w:after="0" w:line="240" w:lineRule="auto"/>
              <w:ind w:left="-57" w:right="-57"/>
              <w:jc w:val="right"/>
              <w:rPr>
                <w:rFonts w:ascii="Times New Roman" w:eastAsia="Times New Roman" w:hAnsi="Times New Roman" w:cs="Times New Roman"/>
                <w:bCs/>
                <w:color w:val="000000"/>
                <w:sz w:val="20"/>
                <w:szCs w:val="18"/>
              </w:rPr>
            </w:pPr>
            <w:r w:rsidRPr="00A16FA9">
              <w:rPr>
                <w:rFonts w:ascii="Times New Roman" w:hAnsi="Times New Roman" w:cs="Times New Roman"/>
                <w:color w:val="000000"/>
                <w:sz w:val="20"/>
                <w:szCs w:val="18"/>
              </w:rPr>
              <w:t>100</w:t>
            </w:r>
            <w:r w:rsidR="002A0227">
              <w:rPr>
                <w:rFonts w:ascii="Times New Roman" w:hAnsi="Times New Roman" w:cs="Times New Roman"/>
                <w:color w:val="000000"/>
                <w:sz w:val="20"/>
                <w:szCs w:val="18"/>
              </w:rPr>
              <w:t>.</w:t>
            </w:r>
            <w:r w:rsidRPr="00A16FA9">
              <w:rPr>
                <w:rFonts w:ascii="Times New Roman" w:hAnsi="Times New Roman" w:cs="Times New Roman"/>
                <w:color w:val="000000"/>
                <w:sz w:val="20"/>
                <w:szCs w:val="18"/>
              </w:rPr>
              <w:t>00</w:t>
            </w:r>
          </w:p>
        </w:tc>
      </w:tr>
    </w:tbl>
    <w:p w:rsidR="00950BDF" w:rsidRPr="00CA6AE8" w:rsidRDefault="00950BDF" w:rsidP="00E44C19">
      <w:pPr>
        <w:spacing w:before="120" w:after="120" w:line="240" w:lineRule="auto"/>
        <w:jc w:val="center"/>
        <w:rPr>
          <w:rFonts w:ascii="Times New Roman" w:hAnsi="Times New Roman" w:cs="Times New Roman"/>
          <w:sz w:val="20"/>
          <w:szCs w:val="24"/>
          <w:lang w:val="en-US"/>
        </w:rPr>
      </w:pPr>
      <w:r w:rsidRPr="00CA6AE8">
        <w:rPr>
          <w:rFonts w:ascii="Times New Roman" w:hAnsi="Times New Roman" w:cs="Times New Roman"/>
          <w:sz w:val="20"/>
          <w:szCs w:val="24"/>
        </w:rPr>
        <w:t>Източник: Съставена от авторите на основа на получени резултати от модела.</w:t>
      </w:r>
    </w:p>
    <w:p w:rsidR="00AB0E25" w:rsidRDefault="00AB0E25" w:rsidP="00233DB8">
      <w:pPr>
        <w:spacing w:after="0" w:line="240" w:lineRule="auto"/>
      </w:pPr>
    </w:p>
    <w:p w:rsidR="00950BDF" w:rsidRPr="00F71484" w:rsidRDefault="00950BDF" w:rsidP="00E44C19">
      <w:pPr>
        <w:pStyle w:val="Heading4"/>
        <w:spacing w:before="120" w:after="120" w:line="240" w:lineRule="auto"/>
        <w:rPr>
          <w:rFonts w:ascii="Times New Roman" w:hAnsi="Times New Roman" w:cs="Times New Roman"/>
          <w:b w:val="0"/>
          <w:color w:val="auto"/>
          <w:sz w:val="24"/>
          <w:szCs w:val="24"/>
        </w:rPr>
      </w:pPr>
      <w:r w:rsidRPr="00F71484">
        <w:rPr>
          <w:rFonts w:ascii="Times New Roman" w:hAnsi="Times New Roman" w:cs="Times New Roman"/>
          <w:b w:val="0"/>
          <w:color w:val="auto"/>
          <w:sz w:val="24"/>
          <w:szCs w:val="24"/>
        </w:rPr>
        <w:t>Парични потоци и финансови съотношения</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Чрез прилагане на представения методологически подход</w:t>
      </w:r>
      <w:r w:rsidR="00F71484">
        <w:rPr>
          <w:rFonts w:ascii="Times New Roman" w:hAnsi="Times New Roman" w:cs="Times New Roman"/>
          <w:sz w:val="24"/>
          <w:szCs w:val="24"/>
        </w:rPr>
        <w:t>,</w:t>
      </w:r>
      <w:r w:rsidRPr="00950BDF">
        <w:rPr>
          <w:rFonts w:ascii="Times New Roman" w:hAnsi="Times New Roman" w:cs="Times New Roman"/>
          <w:sz w:val="24"/>
          <w:szCs w:val="24"/>
        </w:rPr>
        <w:t xml:space="preserve"> проектът е оценен в две направления:</w:t>
      </w:r>
    </w:p>
    <w:p w:rsidR="00950BDF" w:rsidRPr="00950BDF" w:rsidRDefault="00F71484" w:rsidP="002A32DA">
      <w:pPr>
        <w:pStyle w:val="ListParagraph"/>
        <w:numPr>
          <w:ilvl w:val="0"/>
          <w:numId w:val="15"/>
        </w:numPr>
        <w:spacing w:before="120" w:after="12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о</w:t>
      </w:r>
      <w:r w:rsidR="00950BDF" w:rsidRPr="00950BDF">
        <w:rPr>
          <w:rFonts w:ascii="Times New Roman" w:hAnsi="Times New Roman" w:cs="Times New Roman"/>
          <w:sz w:val="24"/>
          <w:szCs w:val="24"/>
        </w:rPr>
        <w:t>ценка на „изгладените“ разходи за производство на електрическа енергия (Levelised</w:t>
      </w:r>
      <w:r w:rsidR="000A609E">
        <w:rPr>
          <w:rFonts w:ascii="Times New Roman" w:hAnsi="Times New Roman" w:cs="Times New Roman"/>
          <w:sz w:val="24"/>
          <w:szCs w:val="24"/>
        </w:rPr>
        <w:t xml:space="preserve"> </w:t>
      </w:r>
      <w:r w:rsidR="00950BDF" w:rsidRPr="00950BDF">
        <w:rPr>
          <w:rFonts w:ascii="Times New Roman" w:hAnsi="Times New Roman" w:cs="Times New Roman"/>
          <w:sz w:val="24"/>
          <w:szCs w:val="24"/>
        </w:rPr>
        <w:t>cost</w:t>
      </w:r>
      <w:r w:rsidR="000A609E">
        <w:rPr>
          <w:rFonts w:ascii="Times New Roman" w:hAnsi="Times New Roman" w:cs="Times New Roman"/>
          <w:sz w:val="24"/>
          <w:szCs w:val="24"/>
        </w:rPr>
        <w:t xml:space="preserve"> </w:t>
      </w:r>
      <w:r w:rsidR="00950BDF" w:rsidRPr="00950BDF">
        <w:rPr>
          <w:rFonts w:ascii="Times New Roman" w:hAnsi="Times New Roman" w:cs="Times New Roman"/>
          <w:sz w:val="24"/>
          <w:szCs w:val="24"/>
        </w:rPr>
        <w:t>of</w:t>
      </w:r>
      <w:r w:rsidR="000A609E">
        <w:rPr>
          <w:rFonts w:ascii="Times New Roman" w:hAnsi="Times New Roman" w:cs="Times New Roman"/>
          <w:sz w:val="24"/>
          <w:szCs w:val="24"/>
        </w:rPr>
        <w:t xml:space="preserve"> </w:t>
      </w:r>
      <w:r w:rsidR="00950BDF" w:rsidRPr="00950BDF">
        <w:rPr>
          <w:rFonts w:ascii="Times New Roman" w:hAnsi="Times New Roman" w:cs="Times New Roman"/>
          <w:sz w:val="24"/>
          <w:szCs w:val="24"/>
        </w:rPr>
        <w:t>electricity – LCOE)</w:t>
      </w:r>
      <w:r>
        <w:rPr>
          <w:rFonts w:ascii="Times New Roman" w:hAnsi="Times New Roman" w:cs="Times New Roman"/>
          <w:sz w:val="24"/>
          <w:szCs w:val="24"/>
        </w:rPr>
        <w:t>;</w:t>
      </w:r>
    </w:p>
    <w:p w:rsidR="00950BDF" w:rsidRPr="00950BDF" w:rsidRDefault="00F71484" w:rsidP="002A32DA">
      <w:pPr>
        <w:pStyle w:val="ListParagraph"/>
        <w:numPr>
          <w:ilvl w:val="0"/>
          <w:numId w:val="15"/>
        </w:numPr>
        <w:spacing w:before="120" w:after="12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о</w:t>
      </w:r>
      <w:r w:rsidR="00950BDF" w:rsidRPr="00950BDF">
        <w:rPr>
          <w:rFonts w:ascii="Times New Roman" w:hAnsi="Times New Roman" w:cs="Times New Roman"/>
          <w:sz w:val="24"/>
          <w:szCs w:val="24"/>
        </w:rPr>
        <w:t>ценка на нетната настояща стойност (NPV) и вътрешната норма на възвръщаемост (IRR).</w:t>
      </w:r>
    </w:p>
    <w:p w:rsidR="00233DB8" w:rsidRDefault="00233DB8" w:rsidP="00E44C19">
      <w:pPr>
        <w:spacing w:before="120" w:after="120" w:line="240" w:lineRule="auto"/>
        <w:jc w:val="both"/>
        <w:rPr>
          <w:rFonts w:ascii="Times New Roman" w:hAnsi="Times New Roman" w:cs="Times New Roman"/>
          <w:sz w:val="24"/>
          <w:szCs w:val="24"/>
          <w:u w:val="single"/>
        </w:rPr>
      </w:pPr>
    </w:p>
    <w:p w:rsidR="00950BDF" w:rsidRPr="00F71484" w:rsidRDefault="00950BDF" w:rsidP="00E44C19">
      <w:pPr>
        <w:spacing w:before="120" w:after="120" w:line="240" w:lineRule="auto"/>
        <w:jc w:val="both"/>
        <w:rPr>
          <w:rFonts w:ascii="Times New Roman" w:hAnsi="Times New Roman" w:cs="Times New Roman"/>
          <w:sz w:val="24"/>
          <w:szCs w:val="24"/>
          <w:u w:val="single"/>
        </w:rPr>
      </w:pPr>
      <w:r w:rsidRPr="00F71484">
        <w:rPr>
          <w:rFonts w:ascii="Times New Roman" w:hAnsi="Times New Roman" w:cs="Times New Roman"/>
          <w:sz w:val="24"/>
          <w:szCs w:val="24"/>
          <w:u w:val="single"/>
        </w:rPr>
        <w:t>Оценка на „изгладените“ разходи за произведената електрическа енергия</w:t>
      </w:r>
    </w:p>
    <w:p w:rsidR="00950BDF" w:rsidRPr="00950BDF" w:rsidRDefault="00950BDF" w:rsidP="00E2036B">
      <w:pPr>
        <w:spacing w:before="120" w:after="0" w:line="240" w:lineRule="auto"/>
        <w:jc w:val="both"/>
        <w:rPr>
          <w:rFonts w:ascii="Times New Roman" w:hAnsi="Times New Roman" w:cs="Times New Roman"/>
          <w:sz w:val="24"/>
          <w:szCs w:val="24"/>
        </w:rPr>
      </w:pPr>
      <w:r w:rsidRPr="00950BDF">
        <w:rPr>
          <w:rFonts w:ascii="Times New Roman" w:hAnsi="Times New Roman" w:cs="Times New Roman"/>
          <w:sz w:val="24"/>
          <w:szCs w:val="24"/>
        </w:rPr>
        <w:t xml:space="preserve">Изчислени са следните стойности на показателя </w:t>
      </w:r>
      <w:r w:rsidRPr="00767DAB">
        <w:rPr>
          <w:rFonts w:ascii="Times New Roman" w:hAnsi="Times New Roman" w:cs="Times New Roman"/>
          <w:sz w:val="24"/>
          <w:szCs w:val="24"/>
        </w:rPr>
        <w:t xml:space="preserve">LCOE за АЕЦ „Белене“: </w:t>
      </w:r>
      <w:r w:rsidRPr="00DB1A1E">
        <w:rPr>
          <w:rFonts w:ascii="Times New Roman" w:hAnsi="Times New Roman" w:cs="Times New Roman"/>
          <w:sz w:val="24"/>
          <w:szCs w:val="24"/>
        </w:rPr>
        <w:t>5</w:t>
      </w:r>
      <w:r w:rsidR="00131809" w:rsidRPr="00DB1A1E">
        <w:rPr>
          <w:rFonts w:ascii="Times New Roman" w:hAnsi="Times New Roman" w:cs="Times New Roman"/>
          <w:sz w:val="24"/>
          <w:szCs w:val="24"/>
        </w:rPr>
        <w:t>5</w:t>
      </w:r>
      <w:r w:rsidR="00767DAB">
        <w:rPr>
          <w:rFonts w:ascii="Times New Roman" w:hAnsi="Times New Roman" w:cs="Times New Roman"/>
          <w:sz w:val="24"/>
          <w:szCs w:val="24"/>
        </w:rPr>
        <w:t>,</w:t>
      </w:r>
      <w:r w:rsidR="00131809" w:rsidRPr="00DB1A1E">
        <w:rPr>
          <w:rFonts w:ascii="Times New Roman" w:hAnsi="Times New Roman" w:cs="Times New Roman"/>
          <w:sz w:val="24"/>
          <w:szCs w:val="24"/>
        </w:rPr>
        <w:t>8</w:t>
      </w:r>
      <w:r w:rsidRPr="00DB1A1E">
        <w:rPr>
          <w:rFonts w:ascii="Times New Roman" w:hAnsi="Times New Roman" w:cs="Times New Roman"/>
          <w:sz w:val="24"/>
          <w:szCs w:val="24"/>
        </w:rPr>
        <w:t>0</w:t>
      </w:r>
      <w:r w:rsidRPr="00767DAB">
        <w:rPr>
          <w:rFonts w:ascii="Times New Roman" w:hAnsi="Times New Roman" w:cs="Times New Roman"/>
          <w:sz w:val="24"/>
          <w:szCs w:val="24"/>
        </w:rPr>
        <w:t xml:space="preserve"> евро/MWh при 3% дисконтова норма, </w:t>
      </w:r>
      <w:r w:rsidR="00131809" w:rsidRPr="00DB1A1E">
        <w:rPr>
          <w:rFonts w:ascii="Times New Roman" w:hAnsi="Times New Roman" w:cs="Times New Roman"/>
          <w:sz w:val="24"/>
          <w:szCs w:val="24"/>
        </w:rPr>
        <w:t>90</w:t>
      </w:r>
      <w:r w:rsidR="00767DAB">
        <w:rPr>
          <w:rFonts w:ascii="Times New Roman" w:hAnsi="Times New Roman" w:cs="Times New Roman"/>
          <w:sz w:val="24"/>
          <w:szCs w:val="24"/>
        </w:rPr>
        <w:t>,</w:t>
      </w:r>
      <w:r w:rsidR="00131809" w:rsidRPr="00DB1A1E">
        <w:rPr>
          <w:rFonts w:ascii="Times New Roman" w:hAnsi="Times New Roman" w:cs="Times New Roman"/>
          <w:sz w:val="24"/>
          <w:szCs w:val="24"/>
        </w:rPr>
        <w:t>99</w:t>
      </w:r>
      <w:r w:rsidRPr="00767DAB">
        <w:rPr>
          <w:rFonts w:ascii="Times New Roman" w:hAnsi="Times New Roman" w:cs="Times New Roman"/>
          <w:sz w:val="24"/>
          <w:szCs w:val="24"/>
        </w:rPr>
        <w:t xml:space="preserve"> евро/MWh при 7% дисконтова норма и </w:t>
      </w:r>
      <w:r w:rsidRPr="00DB1A1E">
        <w:rPr>
          <w:rFonts w:ascii="Times New Roman" w:hAnsi="Times New Roman" w:cs="Times New Roman"/>
          <w:sz w:val="24"/>
          <w:szCs w:val="24"/>
        </w:rPr>
        <w:t>12</w:t>
      </w:r>
      <w:r w:rsidR="00131809" w:rsidRPr="00DB1A1E">
        <w:rPr>
          <w:rFonts w:ascii="Times New Roman" w:hAnsi="Times New Roman" w:cs="Times New Roman"/>
          <w:sz w:val="24"/>
          <w:szCs w:val="24"/>
        </w:rPr>
        <w:t>5</w:t>
      </w:r>
      <w:r w:rsidR="00767DAB">
        <w:rPr>
          <w:rFonts w:ascii="Times New Roman" w:hAnsi="Times New Roman" w:cs="Times New Roman"/>
          <w:sz w:val="24"/>
          <w:szCs w:val="24"/>
        </w:rPr>
        <w:t>,</w:t>
      </w:r>
      <w:r w:rsidR="00131809" w:rsidRPr="00DB1A1E">
        <w:rPr>
          <w:rFonts w:ascii="Times New Roman" w:hAnsi="Times New Roman" w:cs="Times New Roman"/>
          <w:sz w:val="24"/>
          <w:szCs w:val="24"/>
        </w:rPr>
        <w:t>75</w:t>
      </w:r>
      <w:r w:rsidRPr="00767DAB">
        <w:rPr>
          <w:rFonts w:ascii="Times New Roman" w:hAnsi="Times New Roman" w:cs="Times New Roman"/>
          <w:sz w:val="24"/>
          <w:szCs w:val="24"/>
        </w:rPr>
        <w:t xml:space="preserve"> евро/MWh при 10% дисконтова норма. В зависимост</w:t>
      </w:r>
      <w:r w:rsidRPr="00950BDF">
        <w:rPr>
          <w:rFonts w:ascii="Times New Roman" w:hAnsi="Times New Roman" w:cs="Times New Roman"/>
          <w:sz w:val="24"/>
          <w:szCs w:val="24"/>
        </w:rPr>
        <w:t xml:space="preserve"> от избраната дисконтова норма</w:t>
      </w:r>
      <w:r w:rsidR="00F71484">
        <w:rPr>
          <w:rFonts w:ascii="Times New Roman" w:hAnsi="Times New Roman" w:cs="Times New Roman"/>
          <w:sz w:val="24"/>
          <w:szCs w:val="24"/>
        </w:rPr>
        <w:t>,</w:t>
      </w:r>
      <w:r w:rsidRPr="00950BDF">
        <w:rPr>
          <w:rFonts w:ascii="Times New Roman" w:hAnsi="Times New Roman" w:cs="Times New Roman"/>
          <w:sz w:val="24"/>
          <w:szCs w:val="24"/>
        </w:rPr>
        <w:t xml:space="preserve"> това е цената, при която проектът става печеливш </w:t>
      </w:r>
      <w:r w:rsidRPr="00950BDF">
        <w:rPr>
          <w:rFonts w:ascii="Times New Roman" w:hAnsi="Times New Roman" w:cs="Times New Roman"/>
          <w:i/>
          <w:sz w:val="24"/>
          <w:szCs w:val="24"/>
        </w:rPr>
        <w:t>(break-even),</w:t>
      </w:r>
      <w:r w:rsidRPr="00950BDF">
        <w:rPr>
          <w:rFonts w:ascii="Times New Roman" w:hAnsi="Times New Roman" w:cs="Times New Roman"/>
          <w:sz w:val="24"/>
          <w:szCs w:val="24"/>
        </w:rPr>
        <w:t xml:space="preserve"> т.е. ще генерира достатъчно парични потоци не само да покрива всички разходи, но и да осигури възвръщаемост на инвестирания капитал, която е съпоставима с възвръщаемостта от алтернативни капиталовложения, но не по-висока. При съпоставка със стойностите на показателя LCOE за проекти в ядрената енергетика от доклада Projected</w:t>
      </w:r>
      <w:r w:rsidR="000A609E">
        <w:rPr>
          <w:rFonts w:ascii="Times New Roman" w:hAnsi="Times New Roman" w:cs="Times New Roman"/>
          <w:sz w:val="24"/>
          <w:szCs w:val="24"/>
        </w:rPr>
        <w:t xml:space="preserve"> </w:t>
      </w:r>
      <w:r w:rsidRPr="00950BDF">
        <w:rPr>
          <w:rFonts w:ascii="Times New Roman" w:hAnsi="Times New Roman" w:cs="Times New Roman"/>
          <w:sz w:val="24"/>
          <w:szCs w:val="24"/>
        </w:rPr>
        <w:t>Costs</w:t>
      </w:r>
      <w:r w:rsidR="000A609E">
        <w:rPr>
          <w:rFonts w:ascii="Times New Roman" w:hAnsi="Times New Roman" w:cs="Times New Roman"/>
          <w:sz w:val="24"/>
          <w:szCs w:val="24"/>
        </w:rPr>
        <w:t xml:space="preserve"> </w:t>
      </w:r>
      <w:r w:rsidRPr="00950BDF">
        <w:rPr>
          <w:rFonts w:ascii="Times New Roman" w:hAnsi="Times New Roman" w:cs="Times New Roman"/>
          <w:sz w:val="24"/>
          <w:szCs w:val="24"/>
        </w:rPr>
        <w:t>of</w:t>
      </w:r>
      <w:r w:rsidR="000A609E">
        <w:rPr>
          <w:rFonts w:ascii="Times New Roman" w:hAnsi="Times New Roman" w:cs="Times New Roman"/>
          <w:sz w:val="24"/>
          <w:szCs w:val="24"/>
        </w:rPr>
        <w:t xml:space="preserve"> </w:t>
      </w:r>
      <w:r w:rsidRPr="00950BDF">
        <w:rPr>
          <w:rFonts w:ascii="Times New Roman" w:hAnsi="Times New Roman" w:cs="Times New Roman"/>
          <w:sz w:val="24"/>
          <w:szCs w:val="24"/>
        </w:rPr>
        <w:t>Generating</w:t>
      </w:r>
      <w:r w:rsidR="000A609E">
        <w:rPr>
          <w:rFonts w:ascii="Times New Roman" w:hAnsi="Times New Roman" w:cs="Times New Roman"/>
          <w:sz w:val="24"/>
          <w:szCs w:val="24"/>
        </w:rPr>
        <w:t xml:space="preserve"> </w:t>
      </w:r>
      <w:r w:rsidRPr="00950BDF">
        <w:rPr>
          <w:rFonts w:ascii="Times New Roman" w:hAnsi="Times New Roman" w:cs="Times New Roman"/>
          <w:sz w:val="24"/>
          <w:szCs w:val="24"/>
        </w:rPr>
        <w:t>Electricity 2015, International Energ</w:t>
      </w:r>
      <w:r w:rsidR="00F71484">
        <w:rPr>
          <w:rFonts w:ascii="Times New Roman" w:hAnsi="Times New Roman" w:cs="Times New Roman"/>
          <w:sz w:val="24"/>
          <w:szCs w:val="24"/>
        </w:rPr>
        <w:t>y Agency (IEA/OECD/NEA)(вж.</w:t>
      </w:r>
      <w:r w:rsidR="00E2036B">
        <w:rPr>
          <w:rFonts w:ascii="Times New Roman" w:hAnsi="Times New Roman" w:cs="Times New Roman"/>
          <w:sz w:val="24"/>
          <w:szCs w:val="24"/>
        </w:rPr>
        <w:t xml:space="preserve">табл. </w:t>
      </w:r>
      <w:r w:rsidR="00E2036B" w:rsidRPr="00E44C19">
        <w:rPr>
          <w:rFonts w:ascii="Times New Roman" w:hAnsi="Times New Roman" w:cs="Times New Roman"/>
          <w:sz w:val="24"/>
          <w:szCs w:val="24"/>
          <w:lang w:val="en-US"/>
        </w:rPr>
        <w:t>V.</w:t>
      </w:r>
      <w:r w:rsidR="00E2036B">
        <w:rPr>
          <w:rFonts w:ascii="Times New Roman" w:hAnsi="Times New Roman" w:cs="Times New Roman"/>
          <w:sz w:val="24"/>
          <w:szCs w:val="24"/>
        </w:rPr>
        <w:t>1</w:t>
      </w:r>
      <w:r w:rsidR="00131809">
        <w:rPr>
          <w:rFonts w:ascii="Times New Roman" w:hAnsi="Times New Roman" w:cs="Times New Roman"/>
          <w:sz w:val="24"/>
          <w:szCs w:val="24"/>
        </w:rPr>
        <w:t>8</w:t>
      </w:r>
      <w:r w:rsidR="00F71484">
        <w:rPr>
          <w:rFonts w:ascii="Times New Roman" w:hAnsi="Times New Roman" w:cs="Times New Roman"/>
          <w:sz w:val="24"/>
          <w:szCs w:val="24"/>
        </w:rPr>
        <w:t>)</w:t>
      </w:r>
      <w:r w:rsidRPr="00950BDF">
        <w:rPr>
          <w:rFonts w:ascii="Times New Roman" w:hAnsi="Times New Roman" w:cs="Times New Roman"/>
          <w:sz w:val="24"/>
          <w:szCs w:val="24"/>
        </w:rPr>
        <w:t>,може да се направи заключението, че тези стойности на проект АЕЦ „Белене“ са съизмерими, като трябва да се отчитат различията в технологиите, нетния капацитет на мощностите и времевите различия.</w:t>
      </w:r>
    </w:p>
    <w:p w:rsidR="00950BDF" w:rsidRPr="00131809" w:rsidRDefault="00131809" w:rsidP="00131809">
      <w:pPr>
        <w:pStyle w:val="Caption"/>
        <w:rPr>
          <w:rFonts w:ascii="Times New Roman" w:hAnsi="Times New Roman"/>
          <w:szCs w:val="24"/>
        </w:rPr>
      </w:pPr>
      <w:bookmarkStart w:id="164" w:name="_Toc491990988"/>
      <w:bookmarkStart w:id="165" w:name="_Toc491994423"/>
      <w:bookmarkStart w:id="166" w:name="_Toc493240914"/>
      <w:r w:rsidRPr="00131809">
        <w:rPr>
          <w:rFonts w:hint="eastAsia"/>
        </w:rPr>
        <w:t>Таблица</w:t>
      </w:r>
      <w:r w:rsidRPr="00131809">
        <w:t xml:space="preserve"> V.</w:t>
      </w:r>
      <w:r w:rsidR="0097530B">
        <w:fldChar w:fldCharType="begin"/>
      </w:r>
      <w:r w:rsidR="00042F89">
        <w:instrText xml:space="preserve"> SEQ Таблица_V. \* ARABIC </w:instrText>
      </w:r>
      <w:r w:rsidR="0097530B">
        <w:fldChar w:fldCharType="separate"/>
      </w:r>
      <w:r w:rsidR="00F44EBF">
        <w:rPr>
          <w:noProof/>
        </w:rPr>
        <w:t>18</w:t>
      </w:r>
      <w:r w:rsidR="0097530B">
        <w:rPr>
          <w:noProof/>
        </w:rPr>
        <w:fldChar w:fldCharType="end"/>
      </w:r>
      <w:r w:rsidRPr="00131809">
        <w:rPr>
          <w:rFonts w:asciiTheme="minorHAnsi" w:hAnsiTheme="minorHAnsi"/>
        </w:rPr>
        <w:t xml:space="preserve">. </w:t>
      </w:r>
      <w:r w:rsidR="00950BDF" w:rsidRPr="00131809">
        <w:rPr>
          <w:rFonts w:ascii="Times New Roman" w:hAnsi="Times New Roman"/>
          <w:szCs w:val="24"/>
        </w:rPr>
        <w:t>LCOE на проекти в ядрената енергетика (</w:t>
      </w:r>
      <w:r w:rsidR="00F71484" w:rsidRPr="00131809">
        <w:rPr>
          <w:rFonts w:ascii="Times New Roman" w:hAnsi="Times New Roman"/>
          <w:szCs w:val="24"/>
        </w:rPr>
        <w:t>щатски дол.</w:t>
      </w:r>
      <w:r w:rsidR="00950BDF" w:rsidRPr="00131809">
        <w:rPr>
          <w:rFonts w:ascii="Times New Roman" w:hAnsi="Times New Roman"/>
          <w:szCs w:val="24"/>
        </w:rPr>
        <w:t>/MWh, реални цени от 2013 г.)</w:t>
      </w:r>
      <w:bookmarkEnd w:id="164"/>
      <w:bookmarkEnd w:id="165"/>
      <w:bookmarkEnd w:id="166"/>
    </w:p>
    <w:tbl>
      <w:tblPr>
        <w:tblW w:w="0" w:type="auto"/>
        <w:jc w:val="center"/>
        <w:tblCellMar>
          <w:left w:w="70" w:type="dxa"/>
          <w:right w:w="70" w:type="dxa"/>
        </w:tblCellMar>
        <w:tblLook w:val="04A0" w:firstRow="1" w:lastRow="0" w:firstColumn="1" w:lastColumn="0" w:noHBand="0" w:noVBand="1"/>
      </w:tblPr>
      <w:tblGrid>
        <w:gridCol w:w="1784"/>
        <w:gridCol w:w="1505"/>
        <w:gridCol w:w="2481"/>
        <w:gridCol w:w="934"/>
        <w:gridCol w:w="1048"/>
        <w:gridCol w:w="1048"/>
      </w:tblGrid>
      <w:tr w:rsidR="00950BDF" w:rsidRPr="00CA6AE8" w:rsidTr="00A16FA9">
        <w:trPr>
          <w:jc w:val="center"/>
        </w:trPr>
        <w:tc>
          <w:tcPr>
            <w:tcW w:w="0" w:type="auto"/>
            <w:vMerge w:val="restart"/>
            <w:tcBorders>
              <w:top w:val="single" w:sz="12" w:space="0" w:color="auto"/>
              <w:left w:val="single" w:sz="12" w:space="0" w:color="auto"/>
              <w:right w:val="single" w:sz="12" w:space="0" w:color="auto"/>
            </w:tcBorders>
            <w:shd w:val="clear" w:color="auto" w:fill="D9D9D9"/>
            <w:noWrap/>
            <w:vAlign w:val="center"/>
            <w:hideMark/>
          </w:tcPr>
          <w:p w:rsidR="00950BDF" w:rsidRPr="00CA6AE8" w:rsidRDefault="00950BDF" w:rsidP="00F71484">
            <w:pPr>
              <w:spacing w:after="0" w:line="240" w:lineRule="auto"/>
              <w:ind w:left="113" w:right="113"/>
              <w:rPr>
                <w:rFonts w:ascii="Times New Roman" w:eastAsia="Times New Roman" w:hAnsi="Times New Roman" w:cs="Times New Roman"/>
                <w:b/>
                <w:bCs/>
                <w:color w:val="000000"/>
                <w:sz w:val="20"/>
                <w:szCs w:val="20"/>
              </w:rPr>
            </w:pPr>
            <w:r w:rsidRPr="00CA6AE8">
              <w:rPr>
                <w:rFonts w:ascii="Times New Roman" w:eastAsia="Times New Roman" w:hAnsi="Times New Roman" w:cs="Times New Roman"/>
                <w:b/>
                <w:bCs/>
                <w:color w:val="000000"/>
                <w:sz w:val="20"/>
                <w:szCs w:val="20"/>
              </w:rPr>
              <w:t>Страна</w:t>
            </w:r>
          </w:p>
        </w:tc>
        <w:tc>
          <w:tcPr>
            <w:tcW w:w="0" w:type="auto"/>
            <w:vMerge w:val="restart"/>
            <w:tcBorders>
              <w:top w:val="single" w:sz="12" w:space="0" w:color="auto"/>
              <w:left w:val="single" w:sz="12" w:space="0" w:color="auto"/>
              <w:right w:val="single" w:sz="4" w:space="0" w:color="auto"/>
            </w:tcBorders>
            <w:shd w:val="clear" w:color="auto" w:fill="D9D9D9"/>
            <w:noWrap/>
            <w:vAlign w:val="center"/>
            <w:hideMark/>
          </w:tcPr>
          <w:p w:rsidR="00950BDF" w:rsidRPr="00CA6AE8" w:rsidRDefault="00950BDF" w:rsidP="00F71484">
            <w:pPr>
              <w:spacing w:after="0" w:line="240" w:lineRule="auto"/>
              <w:ind w:left="113" w:right="113"/>
              <w:jc w:val="center"/>
              <w:rPr>
                <w:rFonts w:ascii="Times New Roman" w:eastAsia="Times New Roman" w:hAnsi="Times New Roman" w:cs="Times New Roman"/>
                <w:b/>
                <w:bCs/>
                <w:color w:val="000000"/>
                <w:sz w:val="20"/>
                <w:szCs w:val="20"/>
              </w:rPr>
            </w:pPr>
            <w:r w:rsidRPr="00CA6AE8">
              <w:rPr>
                <w:rFonts w:ascii="Times New Roman" w:eastAsia="Times New Roman" w:hAnsi="Times New Roman" w:cs="Times New Roman"/>
                <w:b/>
                <w:bCs/>
                <w:color w:val="000000"/>
                <w:sz w:val="20"/>
                <w:szCs w:val="20"/>
              </w:rPr>
              <w:t>Технология</w:t>
            </w:r>
          </w:p>
        </w:tc>
        <w:tc>
          <w:tcPr>
            <w:tcW w:w="0" w:type="auto"/>
            <w:vMerge w:val="restart"/>
            <w:tcBorders>
              <w:top w:val="single" w:sz="12" w:space="0" w:color="auto"/>
              <w:left w:val="nil"/>
              <w:right w:val="single" w:sz="4" w:space="0" w:color="auto"/>
            </w:tcBorders>
            <w:shd w:val="clear" w:color="auto" w:fill="D9D9D9"/>
            <w:noWrap/>
            <w:vAlign w:val="center"/>
            <w:hideMark/>
          </w:tcPr>
          <w:p w:rsidR="00950BDF" w:rsidRPr="00CA6AE8" w:rsidRDefault="00950BDF" w:rsidP="00F71484">
            <w:pPr>
              <w:spacing w:after="0" w:line="240" w:lineRule="auto"/>
              <w:ind w:left="113" w:right="113"/>
              <w:jc w:val="center"/>
              <w:rPr>
                <w:rFonts w:ascii="Times New Roman" w:eastAsia="Times New Roman" w:hAnsi="Times New Roman" w:cs="Times New Roman"/>
                <w:b/>
                <w:bCs/>
                <w:color w:val="000000"/>
                <w:sz w:val="20"/>
                <w:szCs w:val="20"/>
              </w:rPr>
            </w:pPr>
            <w:r w:rsidRPr="00CA6AE8">
              <w:rPr>
                <w:rFonts w:ascii="Times New Roman" w:eastAsia="Times New Roman" w:hAnsi="Times New Roman" w:cs="Times New Roman"/>
                <w:b/>
                <w:bCs/>
                <w:color w:val="000000"/>
                <w:sz w:val="20"/>
                <w:szCs w:val="20"/>
              </w:rPr>
              <w:t>Нетен капацитет (MW)</w:t>
            </w:r>
          </w:p>
        </w:tc>
        <w:tc>
          <w:tcPr>
            <w:tcW w:w="0" w:type="auto"/>
            <w:gridSpan w:val="3"/>
            <w:tcBorders>
              <w:top w:val="single" w:sz="12" w:space="0" w:color="auto"/>
              <w:left w:val="nil"/>
              <w:bottom w:val="single" w:sz="4" w:space="0" w:color="auto"/>
              <w:right w:val="single" w:sz="12" w:space="0" w:color="auto"/>
            </w:tcBorders>
            <w:shd w:val="clear" w:color="auto" w:fill="D9D9D9"/>
            <w:noWrap/>
            <w:vAlign w:val="bottom"/>
            <w:hideMark/>
          </w:tcPr>
          <w:p w:rsidR="00950BDF" w:rsidRPr="00CA6AE8" w:rsidRDefault="00950BDF" w:rsidP="00F71484">
            <w:pPr>
              <w:spacing w:after="0" w:line="240" w:lineRule="auto"/>
              <w:ind w:left="113" w:right="113"/>
              <w:jc w:val="center"/>
              <w:rPr>
                <w:rFonts w:ascii="Times New Roman" w:eastAsia="Times New Roman" w:hAnsi="Times New Roman" w:cs="Times New Roman"/>
                <w:b/>
                <w:bCs/>
                <w:color w:val="000000"/>
                <w:sz w:val="20"/>
                <w:szCs w:val="20"/>
              </w:rPr>
            </w:pPr>
            <w:r w:rsidRPr="00CA6AE8">
              <w:rPr>
                <w:rFonts w:ascii="Times New Roman" w:eastAsia="Times New Roman" w:hAnsi="Times New Roman" w:cs="Times New Roman"/>
                <w:b/>
                <w:bCs/>
                <w:color w:val="000000"/>
                <w:sz w:val="20"/>
                <w:szCs w:val="20"/>
              </w:rPr>
              <w:t>LCOE при дисконтова норма</w:t>
            </w:r>
          </w:p>
        </w:tc>
      </w:tr>
      <w:tr w:rsidR="00950BDF" w:rsidRPr="00CA6AE8" w:rsidTr="00A16FA9">
        <w:trPr>
          <w:jc w:val="center"/>
        </w:trPr>
        <w:tc>
          <w:tcPr>
            <w:tcW w:w="0" w:type="auto"/>
            <w:vMerge/>
            <w:tcBorders>
              <w:left w:val="single" w:sz="12" w:space="0" w:color="auto"/>
              <w:bottom w:val="single" w:sz="12" w:space="0" w:color="auto"/>
              <w:right w:val="single" w:sz="12" w:space="0" w:color="auto"/>
            </w:tcBorders>
            <w:shd w:val="clear" w:color="auto" w:fill="D9D9D9"/>
            <w:noWrap/>
            <w:vAlign w:val="bottom"/>
            <w:hideMark/>
          </w:tcPr>
          <w:p w:rsidR="00950BDF" w:rsidRPr="00CA6AE8" w:rsidRDefault="00950BDF" w:rsidP="00F71484">
            <w:pPr>
              <w:spacing w:after="0" w:line="240" w:lineRule="auto"/>
              <w:ind w:left="113" w:right="113"/>
              <w:rPr>
                <w:rFonts w:ascii="Times New Roman" w:eastAsia="Times New Roman" w:hAnsi="Times New Roman" w:cs="Times New Roman"/>
                <w:b/>
                <w:bCs/>
                <w:color w:val="000000"/>
                <w:sz w:val="20"/>
                <w:szCs w:val="20"/>
              </w:rPr>
            </w:pPr>
          </w:p>
        </w:tc>
        <w:tc>
          <w:tcPr>
            <w:tcW w:w="0" w:type="auto"/>
            <w:vMerge/>
            <w:tcBorders>
              <w:left w:val="single" w:sz="12" w:space="0" w:color="auto"/>
              <w:bottom w:val="single" w:sz="12" w:space="0" w:color="auto"/>
              <w:right w:val="single" w:sz="4" w:space="0" w:color="auto"/>
            </w:tcBorders>
            <w:shd w:val="clear" w:color="auto" w:fill="D9D9D9"/>
            <w:noWrap/>
            <w:vAlign w:val="bottom"/>
            <w:hideMark/>
          </w:tcPr>
          <w:p w:rsidR="00950BDF" w:rsidRPr="00CA6AE8" w:rsidRDefault="00950BDF" w:rsidP="00F71484">
            <w:pPr>
              <w:spacing w:after="0" w:line="240" w:lineRule="auto"/>
              <w:ind w:left="113" w:right="113"/>
              <w:jc w:val="center"/>
              <w:rPr>
                <w:rFonts w:ascii="Times New Roman" w:eastAsia="Times New Roman" w:hAnsi="Times New Roman" w:cs="Times New Roman"/>
                <w:b/>
                <w:bCs/>
                <w:color w:val="000000"/>
                <w:sz w:val="20"/>
                <w:szCs w:val="20"/>
              </w:rPr>
            </w:pPr>
          </w:p>
        </w:tc>
        <w:tc>
          <w:tcPr>
            <w:tcW w:w="0" w:type="auto"/>
            <w:vMerge/>
            <w:tcBorders>
              <w:left w:val="nil"/>
              <w:bottom w:val="single" w:sz="12" w:space="0" w:color="auto"/>
              <w:right w:val="single" w:sz="4" w:space="0" w:color="auto"/>
            </w:tcBorders>
            <w:shd w:val="clear" w:color="auto" w:fill="D9D9D9"/>
            <w:vAlign w:val="bottom"/>
            <w:hideMark/>
          </w:tcPr>
          <w:p w:rsidR="00950BDF" w:rsidRPr="00CA6AE8" w:rsidRDefault="00950BDF" w:rsidP="00F71484">
            <w:pPr>
              <w:spacing w:after="0" w:line="240" w:lineRule="auto"/>
              <w:ind w:left="113" w:right="113"/>
              <w:jc w:val="center"/>
              <w:rPr>
                <w:rFonts w:ascii="Times New Roman" w:eastAsia="Times New Roman" w:hAnsi="Times New Roman" w:cs="Times New Roman"/>
                <w:b/>
                <w:bCs/>
                <w:color w:val="000000"/>
                <w:sz w:val="20"/>
                <w:szCs w:val="20"/>
              </w:rPr>
            </w:pPr>
          </w:p>
        </w:tc>
        <w:tc>
          <w:tcPr>
            <w:tcW w:w="0" w:type="auto"/>
            <w:tcBorders>
              <w:top w:val="nil"/>
              <w:left w:val="nil"/>
              <w:bottom w:val="single" w:sz="12" w:space="0" w:color="auto"/>
              <w:right w:val="single" w:sz="4" w:space="0" w:color="auto"/>
            </w:tcBorders>
            <w:shd w:val="clear" w:color="auto" w:fill="D9D9D9"/>
            <w:noWrap/>
            <w:vAlign w:val="bottom"/>
            <w:hideMark/>
          </w:tcPr>
          <w:p w:rsidR="00950BDF" w:rsidRPr="00CA6AE8" w:rsidRDefault="00950BDF" w:rsidP="00F71484">
            <w:pPr>
              <w:spacing w:after="0" w:line="240" w:lineRule="auto"/>
              <w:ind w:left="113" w:right="113"/>
              <w:jc w:val="center"/>
              <w:rPr>
                <w:rFonts w:ascii="Times New Roman" w:eastAsia="Times New Roman" w:hAnsi="Times New Roman" w:cs="Times New Roman"/>
                <w:b/>
                <w:bCs/>
                <w:color w:val="000000"/>
                <w:sz w:val="20"/>
                <w:szCs w:val="20"/>
              </w:rPr>
            </w:pPr>
            <w:r w:rsidRPr="00CA6AE8">
              <w:rPr>
                <w:rFonts w:ascii="Times New Roman" w:eastAsia="Times New Roman" w:hAnsi="Times New Roman" w:cs="Times New Roman"/>
                <w:b/>
                <w:bCs/>
                <w:color w:val="000000"/>
                <w:sz w:val="20"/>
                <w:szCs w:val="20"/>
              </w:rPr>
              <w:t>3%</w:t>
            </w:r>
          </w:p>
        </w:tc>
        <w:tc>
          <w:tcPr>
            <w:tcW w:w="0" w:type="auto"/>
            <w:tcBorders>
              <w:top w:val="nil"/>
              <w:left w:val="nil"/>
              <w:bottom w:val="single" w:sz="12" w:space="0" w:color="auto"/>
              <w:right w:val="single" w:sz="4" w:space="0" w:color="auto"/>
            </w:tcBorders>
            <w:shd w:val="clear" w:color="auto" w:fill="D9D9D9"/>
            <w:noWrap/>
            <w:vAlign w:val="bottom"/>
            <w:hideMark/>
          </w:tcPr>
          <w:p w:rsidR="00950BDF" w:rsidRPr="00CA6AE8" w:rsidRDefault="00950BDF" w:rsidP="00F71484">
            <w:pPr>
              <w:spacing w:after="0" w:line="240" w:lineRule="auto"/>
              <w:ind w:left="113" w:right="113"/>
              <w:jc w:val="center"/>
              <w:rPr>
                <w:rFonts w:ascii="Times New Roman" w:eastAsia="Times New Roman" w:hAnsi="Times New Roman" w:cs="Times New Roman"/>
                <w:b/>
                <w:bCs/>
                <w:color w:val="000000"/>
                <w:sz w:val="20"/>
                <w:szCs w:val="20"/>
              </w:rPr>
            </w:pPr>
            <w:r w:rsidRPr="00CA6AE8">
              <w:rPr>
                <w:rFonts w:ascii="Times New Roman" w:eastAsia="Times New Roman" w:hAnsi="Times New Roman" w:cs="Times New Roman"/>
                <w:b/>
                <w:bCs/>
                <w:color w:val="000000"/>
                <w:sz w:val="20"/>
                <w:szCs w:val="20"/>
              </w:rPr>
              <w:t>7%</w:t>
            </w:r>
          </w:p>
        </w:tc>
        <w:tc>
          <w:tcPr>
            <w:tcW w:w="0" w:type="auto"/>
            <w:tcBorders>
              <w:top w:val="nil"/>
              <w:left w:val="nil"/>
              <w:bottom w:val="single" w:sz="12" w:space="0" w:color="auto"/>
              <w:right w:val="single" w:sz="12" w:space="0" w:color="auto"/>
            </w:tcBorders>
            <w:shd w:val="clear" w:color="auto" w:fill="D9D9D9"/>
            <w:noWrap/>
            <w:vAlign w:val="bottom"/>
            <w:hideMark/>
          </w:tcPr>
          <w:p w:rsidR="00950BDF" w:rsidRPr="00CA6AE8" w:rsidRDefault="00950BDF" w:rsidP="00F71484">
            <w:pPr>
              <w:spacing w:after="0" w:line="240" w:lineRule="auto"/>
              <w:ind w:left="113" w:right="113"/>
              <w:jc w:val="center"/>
              <w:rPr>
                <w:rFonts w:ascii="Times New Roman" w:eastAsia="Times New Roman" w:hAnsi="Times New Roman" w:cs="Times New Roman"/>
                <w:b/>
                <w:bCs/>
                <w:color w:val="000000"/>
                <w:sz w:val="20"/>
                <w:szCs w:val="20"/>
              </w:rPr>
            </w:pPr>
            <w:r w:rsidRPr="00CA6AE8">
              <w:rPr>
                <w:rFonts w:ascii="Times New Roman" w:eastAsia="Times New Roman" w:hAnsi="Times New Roman" w:cs="Times New Roman"/>
                <w:b/>
                <w:bCs/>
                <w:color w:val="000000"/>
                <w:sz w:val="20"/>
                <w:szCs w:val="20"/>
              </w:rPr>
              <w:t>10%</w:t>
            </w:r>
          </w:p>
        </w:tc>
      </w:tr>
      <w:tr w:rsidR="00950BDF" w:rsidRPr="00CA6AE8" w:rsidTr="00A16FA9">
        <w:trPr>
          <w:jc w:val="center"/>
        </w:trPr>
        <w:tc>
          <w:tcPr>
            <w:tcW w:w="0" w:type="auto"/>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950BDF" w:rsidRPr="00CA6AE8" w:rsidRDefault="00950BDF" w:rsidP="00F71484">
            <w:pPr>
              <w:spacing w:after="0" w:line="240" w:lineRule="auto"/>
              <w:ind w:left="113" w:right="113"/>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Белгия</w:t>
            </w:r>
          </w:p>
        </w:tc>
        <w:tc>
          <w:tcPr>
            <w:tcW w:w="0" w:type="auto"/>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center"/>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Generation III</w:t>
            </w:r>
          </w:p>
        </w:tc>
        <w:tc>
          <w:tcPr>
            <w:tcW w:w="0" w:type="auto"/>
            <w:tcBorders>
              <w:top w:val="single" w:sz="12" w:space="0" w:color="auto"/>
              <w:left w:val="nil"/>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center"/>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1000-1600</w:t>
            </w:r>
          </w:p>
        </w:tc>
        <w:tc>
          <w:tcPr>
            <w:tcW w:w="0" w:type="auto"/>
            <w:tcBorders>
              <w:top w:val="single" w:sz="12" w:space="0" w:color="auto"/>
              <w:left w:val="nil"/>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51</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45</w:t>
            </w:r>
          </w:p>
        </w:tc>
        <w:tc>
          <w:tcPr>
            <w:tcW w:w="0" w:type="auto"/>
            <w:tcBorders>
              <w:top w:val="single" w:sz="12" w:space="0" w:color="auto"/>
              <w:left w:val="nil"/>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84</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17</w:t>
            </w:r>
          </w:p>
        </w:tc>
        <w:tc>
          <w:tcPr>
            <w:tcW w:w="0" w:type="auto"/>
            <w:tcBorders>
              <w:top w:val="single" w:sz="12" w:space="0" w:color="auto"/>
              <w:left w:val="nil"/>
              <w:bottom w:val="single" w:sz="4" w:space="0" w:color="auto"/>
              <w:right w:val="single" w:sz="12"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116</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81</w:t>
            </w:r>
          </w:p>
        </w:tc>
      </w:tr>
      <w:tr w:rsidR="00950BDF" w:rsidRPr="00CA6AE8" w:rsidTr="00A16FA9">
        <w:trPr>
          <w:jc w:val="center"/>
        </w:trPr>
        <w:tc>
          <w:tcPr>
            <w:tcW w:w="0" w:type="auto"/>
            <w:tcBorders>
              <w:top w:val="nil"/>
              <w:left w:val="single" w:sz="12" w:space="0" w:color="auto"/>
              <w:bottom w:val="single" w:sz="4" w:space="0" w:color="auto"/>
              <w:right w:val="single" w:sz="12" w:space="0" w:color="auto"/>
            </w:tcBorders>
            <w:shd w:val="clear" w:color="auto" w:fill="auto"/>
            <w:noWrap/>
            <w:vAlign w:val="bottom"/>
            <w:hideMark/>
          </w:tcPr>
          <w:p w:rsidR="00950BDF" w:rsidRPr="00CA6AE8" w:rsidRDefault="00950BDF" w:rsidP="00F71484">
            <w:pPr>
              <w:spacing w:after="0" w:line="240" w:lineRule="auto"/>
              <w:ind w:left="113" w:right="113"/>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Финландия</w:t>
            </w:r>
          </w:p>
        </w:tc>
        <w:tc>
          <w:tcPr>
            <w:tcW w:w="0" w:type="auto"/>
            <w:tcBorders>
              <w:top w:val="nil"/>
              <w:left w:val="single" w:sz="12" w:space="0" w:color="auto"/>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center"/>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ALWR</w:t>
            </w:r>
          </w:p>
        </w:tc>
        <w:tc>
          <w:tcPr>
            <w:tcW w:w="0" w:type="auto"/>
            <w:tcBorders>
              <w:top w:val="nil"/>
              <w:left w:val="nil"/>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center"/>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1600</w:t>
            </w:r>
          </w:p>
        </w:tc>
        <w:tc>
          <w:tcPr>
            <w:tcW w:w="0" w:type="auto"/>
            <w:tcBorders>
              <w:top w:val="nil"/>
              <w:left w:val="nil"/>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46</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77</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64</w:t>
            </w:r>
          </w:p>
        </w:tc>
        <w:tc>
          <w:tcPr>
            <w:tcW w:w="0" w:type="auto"/>
            <w:tcBorders>
              <w:top w:val="nil"/>
              <w:left w:val="nil"/>
              <w:bottom w:val="single" w:sz="4" w:space="0" w:color="auto"/>
              <w:right w:val="single" w:sz="12"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109</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1</w:t>
            </w:r>
            <w:r w:rsidR="00F71484">
              <w:rPr>
                <w:rFonts w:ascii="Times New Roman" w:eastAsia="Times New Roman" w:hAnsi="Times New Roman" w:cs="Times New Roman"/>
                <w:color w:val="000000"/>
                <w:sz w:val="20"/>
                <w:szCs w:val="20"/>
              </w:rPr>
              <w:t>0</w:t>
            </w:r>
          </w:p>
        </w:tc>
      </w:tr>
      <w:tr w:rsidR="00950BDF" w:rsidRPr="00CA6AE8" w:rsidTr="00A16FA9">
        <w:trPr>
          <w:jc w:val="center"/>
        </w:trPr>
        <w:tc>
          <w:tcPr>
            <w:tcW w:w="0" w:type="auto"/>
            <w:tcBorders>
              <w:top w:val="nil"/>
              <w:left w:val="single" w:sz="12" w:space="0" w:color="auto"/>
              <w:bottom w:val="single" w:sz="4" w:space="0" w:color="auto"/>
              <w:right w:val="single" w:sz="12" w:space="0" w:color="auto"/>
            </w:tcBorders>
            <w:shd w:val="clear" w:color="auto" w:fill="auto"/>
            <w:noWrap/>
            <w:vAlign w:val="bottom"/>
            <w:hideMark/>
          </w:tcPr>
          <w:p w:rsidR="00950BDF" w:rsidRPr="00CA6AE8" w:rsidRDefault="00950BDF" w:rsidP="00F71484">
            <w:pPr>
              <w:spacing w:after="0" w:line="240" w:lineRule="auto"/>
              <w:ind w:left="113" w:right="113"/>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Франция</w:t>
            </w:r>
          </w:p>
        </w:tc>
        <w:tc>
          <w:tcPr>
            <w:tcW w:w="0" w:type="auto"/>
            <w:tcBorders>
              <w:top w:val="nil"/>
              <w:left w:val="single" w:sz="12" w:space="0" w:color="auto"/>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center"/>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ALWR</w:t>
            </w:r>
          </w:p>
        </w:tc>
        <w:tc>
          <w:tcPr>
            <w:tcW w:w="0" w:type="auto"/>
            <w:tcBorders>
              <w:top w:val="nil"/>
              <w:left w:val="nil"/>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center"/>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1630</w:t>
            </w:r>
          </w:p>
        </w:tc>
        <w:tc>
          <w:tcPr>
            <w:tcW w:w="0" w:type="auto"/>
            <w:tcBorders>
              <w:top w:val="nil"/>
              <w:left w:val="nil"/>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49</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98</w:t>
            </w:r>
          </w:p>
        </w:tc>
        <w:tc>
          <w:tcPr>
            <w:tcW w:w="0" w:type="auto"/>
            <w:tcBorders>
              <w:top w:val="nil"/>
              <w:left w:val="nil"/>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82</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64</w:t>
            </w:r>
          </w:p>
        </w:tc>
        <w:tc>
          <w:tcPr>
            <w:tcW w:w="0" w:type="auto"/>
            <w:tcBorders>
              <w:top w:val="nil"/>
              <w:left w:val="nil"/>
              <w:bottom w:val="single" w:sz="4" w:space="0" w:color="auto"/>
              <w:right w:val="single" w:sz="12"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115</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21</w:t>
            </w:r>
          </w:p>
        </w:tc>
      </w:tr>
      <w:tr w:rsidR="00950BDF" w:rsidRPr="00CA6AE8" w:rsidTr="00A16FA9">
        <w:trPr>
          <w:jc w:val="center"/>
        </w:trPr>
        <w:tc>
          <w:tcPr>
            <w:tcW w:w="0" w:type="auto"/>
            <w:tcBorders>
              <w:top w:val="nil"/>
              <w:left w:val="single" w:sz="12" w:space="0" w:color="auto"/>
              <w:bottom w:val="single" w:sz="4" w:space="0" w:color="auto"/>
              <w:right w:val="single" w:sz="12" w:space="0" w:color="auto"/>
            </w:tcBorders>
            <w:shd w:val="clear" w:color="auto" w:fill="auto"/>
            <w:noWrap/>
            <w:vAlign w:val="bottom"/>
            <w:hideMark/>
          </w:tcPr>
          <w:p w:rsidR="00950BDF" w:rsidRPr="00CA6AE8" w:rsidRDefault="00950BDF" w:rsidP="00F71484">
            <w:pPr>
              <w:spacing w:after="0" w:line="240" w:lineRule="auto"/>
              <w:ind w:left="113" w:right="113"/>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Унгария</w:t>
            </w:r>
          </w:p>
        </w:tc>
        <w:tc>
          <w:tcPr>
            <w:tcW w:w="0" w:type="auto"/>
            <w:tcBorders>
              <w:top w:val="nil"/>
              <w:left w:val="single" w:sz="12" w:space="0" w:color="auto"/>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center"/>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ALWR</w:t>
            </w:r>
          </w:p>
        </w:tc>
        <w:tc>
          <w:tcPr>
            <w:tcW w:w="0" w:type="auto"/>
            <w:tcBorders>
              <w:top w:val="nil"/>
              <w:left w:val="nil"/>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center"/>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1180</w:t>
            </w:r>
          </w:p>
        </w:tc>
        <w:tc>
          <w:tcPr>
            <w:tcW w:w="0" w:type="auto"/>
            <w:tcBorders>
              <w:top w:val="nil"/>
              <w:left w:val="nil"/>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53</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9</w:t>
            </w:r>
            <w:r w:rsidR="00F71484">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89</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94</w:t>
            </w:r>
          </w:p>
        </w:tc>
        <w:tc>
          <w:tcPr>
            <w:tcW w:w="0" w:type="auto"/>
            <w:tcBorders>
              <w:top w:val="nil"/>
              <w:left w:val="nil"/>
              <w:bottom w:val="single" w:sz="4" w:space="0" w:color="auto"/>
              <w:right w:val="single" w:sz="12"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124</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95</w:t>
            </w:r>
          </w:p>
        </w:tc>
      </w:tr>
      <w:tr w:rsidR="00950BDF" w:rsidRPr="00CA6AE8" w:rsidTr="00A16FA9">
        <w:trPr>
          <w:jc w:val="center"/>
        </w:trPr>
        <w:tc>
          <w:tcPr>
            <w:tcW w:w="0" w:type="auto"/>
            <w:tcBorders>
              <w:top w:val="nil"/>
              <w:left w:val="single" w:sz="12" w:space="0" w:color="auto"/>
              <w:bottom w:val="single" w:sz="4" w:space="0" w:color="auto"/>
              <w:right w:val="single" w:sz="12" w:space="0" w:color="auto"/>
            </w:tcBorders>
            <w:shd w:val="clear" w:color="auto" w:fill="auto"/>
            <w:noWrap/>
            <w:vAlign w:val="bottom"/>
            <w:hideMark/>
          </w:tcPr>
          <w:p w:rsidR="00950BDF" w:rsidRPr="00CA6AE8" w:rsidRDefault="00950BDF" w:rsidP="00F71484">
            <w:pPr>
              <w:spacing w:after="0" w:line="240" w:lineRule="auto"/>
              <w:ind w:left="113" w:right="113"/>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Япония</w:t>
            </w:r>
          </w:p>
        </w:tc>
        <w:tc>
          <w:tcPr>
            <w:tcW w:w="0" w:type="auto"/>
            <w:tcBorders>
              <w:top w:val="nil"/>
              <w:left w:val="single" w:sz="12" w:space="0" w:color="auto"/>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center"/>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ALWR</w:t>
            </w:r>
          </w:p>
        </w:tc>
        <w:tc>
          <w:tcPr>
            <w:tcW w:w="0" w:type="auto"/>
            <w:tcBorders>
              <w:top w:val="nil"/>
              <w:left w:val="nil"/>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center"/>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1152</w:t>
            </w:r>
          </w:p>
        </w:tc>
        <w:tc>
          <w:tcPr>
            <w:tcW w:w="0" w:type="auto"/>
            <w:tcBorders>
              <w:top w:val="nil"/>
              <w:left w:val="nil"/>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62</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63</w:t>
            </w:r>
          </w:p>
        </w:tc>
        <w:tc>
          <w:tcPr>
            <w:tcW w:w="0" w:type="auto"/>
            <w:tcBorders>
              <w:top w:val="nil"/>
              <w:left w:val="nil"/>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87</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57</w:t>
            </w:r>
          </w:p>
        </w:tc>
        <w:tc>
          <w:tcPr>
            <w:tcW w:w="0" w:type="auto"/>
            <w:tcBorders>
              <w:top w:val="nil"/>
              <w:left w:val="nil"/>
              <w:bottom w:val="single" w:sz="4" w:space="0" w:color="auto"/>
              <w:right w:val="single" w:sz="12"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112</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5</w:t>
            </w:r>
            <w:r w:rsidR="00F71484">
              <w:rPr>
                <w:rFonts w:ascii="Times New Roman" w:eastAsia="Times New Roman" w:hAnsi="Times New Roman" w:cs="Times New Roman"/>
                <w:color w:val="000000"/>
                <w:sz w:val="20"/>
                <w:szCs w:val="20"/>
              </w:rPr>
              <w:t>0</w:t>
            </w:r>
          </w:p>
        </w:tc>
      </w:tr>
      <w:tr w:rsidR="00950BDF" w:rsidRPr="00CA6AE8" w:rsidTr="00A16FA9">
        <w:trPr>
          <w:jc w:val="center"/>
        </w:trPr>
        <w:tc>
          <w:tcPr>
            <w:tcW w:w="0" w:type="auto"/>
            <w:tcBorders>
              <w:top w:val="nil"/>
              <w:left w:val="single" w:sz="12" w:space="0" w:color="auto"/>
              <w:bottom w:val="single" w:sz="4" w:space="0" w:color="auto"/>
              <w:right w:val="single" w:sz="12" w:space="0" w:color="auto"/>
            </w:tcBorders>
            <w:shd w:val="clear" w:color="auto" w:fill="auto"/>
            <w:noWrap/>
            <w:vAlign w:val="bottom"/>
            <w:hideMark/>
          </w:tcPr>
          <w:p w:rsidR="00950BDF" w:rsidRPr="00CA6AE8" w:rsidRDefault="00950BDF" w:rsidP="00F71484">
            <w:pPr>
              <w:spacing w:after="0" w:line="240" w:lineRule="auto"/>
              <w:ind w:left="113" w:right="113"/>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Корея</w:t>
            </w:r>
          </w:p>
        </w:tc>
        <w:tc>
          <w:tcPr>
            <w:tcW w:w="0" w:type="auto"/>
            <w:tcBorders>
              <w:top w:val="nil"/>
              <w:left w:val="single" w:sz="12" w:space="0" w:color="auto"/>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center"/>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ALWR</w:t>
            </w:r>
          </w:p>
        </w:tc>
        <w:tc>
          <w:tcPr>
            <w:tcW w:w="0" w:type="auto"/>
            <w:tcBorders>
              <w:top w:val="nil"/>
              <w:left w:val="nil"/>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center"/>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1343</w:t>
            </w:r>
          </w:p>
        </w:tc>
        <w:tc>
          <w:tcPr>
            <w:tcW w:w="0" w:type="auto"/>
            <w:tcBorders>
              <w:top w:val="nil"/>
              <w:left w:val="nil"/>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28</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63</w:t>
            </w:r>
          </w:p>
        </w:tc>
        <w:tc>
          <w:tcPr>
            <w:tcW w:w="0" w:type="auto"/>
            <w:tcBorders>
              <w:top w:val="nil"/>
              <w:left w:val="nil"/>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40</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42</w:t>
            </w:r>
          </w:p>
        </w:tc>
        <w:tc>
          <w:tcPr>
            <w:tcW w:w="0" w:type="auto"/>
            <w:tcBorders>
              <w:top w:val="nil"/>
              <w:left w:val="nil"/>
              <w:bottom w:val="single" w:sz="4" w:space="0" w:color="auto"/>
              <w:right w:val="single" w:sz="12"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51</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37</w:t>
            </w:r>
          </w:p>
        </w:tc>
      </w:tr>
      <w:tr w:rsidR="00950BDF" w:rsidRPr="00CA6AE8" w:rsidTr="00A16FA9">
        <w:trPr>
          <w:jc w:val="center"/>
        </w:trPr>
        <w:tc>
          <w:tcPr>
            <w:tcW w:w="0" w:type="auto"/>
            <w:tcBorders>
              <w:top w:val="nil"/>
              <w:left w:val="single" w:sz="12" w:space="0" w:color="auto"/>
              <w:bottom w:val="single" w:sz="4" w:space="0" w:color="auto"/>
              <w:right w:val="single" w:sz="12" w:space="0" w:color="auto"/>
            </w:tcBorders>
            <w:shd w:val="clear" w:color="auto" w:fill="auto"/>
            <w:noWrap/>
            <w:vAlign w:val="bottom"/>
            <w:hideMark/>
          </w:tcPr>
          <w:p w:rsidR="00950BDF" w:rsidRPr="00CA6AE8" w:rsidRDefault="00950BDF" w:rsidP="00F71484">
            <w:pPr>
              <w:spacing w:after="0" w:line="240" w:lineRule="auto"/>
              <w:ind w:left="113" w:right="113"/>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Словакия</w:t>
            </w:r>
          </w:p>
        </w:tc>
        <w:tc>
          <w:tcPr>
            <w:tcW w:w="0" w:type="auto"/>
            <w:tcBorders>
              <w:top w:val="nil"/>
              <w:left w:val="single" w:sz="12" w:space="0" w:color="auto"/>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center"/>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LWR</w:t>
            </w:r>
          </w:p>
        </w:tc>
        <w:tc>
          <w:tcPr>
            <w:tcW w:w="0" w:type="auto"/>
            <w:tcBorders>
              <w:top w:val="nil"/>
              <w:left w:val="nil"/>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center"/>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2х535</w:t>
            </w:r>
          </w:p>
        </w:tc>
        <w:tc>
          <w:tcPr>
            <w:tcW w:w="0" w:type="auto"/>
            <w:tcBorders>
              <w:top w:val="nil"/>
              <w:left w:val="nil"/>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53</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9</w:t>
            </w:r>
            <w:r w:rsidR="00F71484">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83</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95</w:t>
            </w:r>
          </w:p>
        </w:tc>
        <w:tc>
          <w:tcPr>
            <w:tcW w:w="0" w:type="auto"/>
            <w:tcBorders>
              <w:top w:val="nil"/>
              <w:left w:val="nil"/>
              <w:bottom w:val="single" w:sz="4" w:space="0" w:color="auto"/>
              <w:right w:val="single" w:sz="12"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116</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48</w:t>
            </w:r>
          </w:p>
        </w:tc>
      </w:tr>
      <w:tr w:rsidR="00950BDF" w:rsidRPr="00CA6AE8" w:rsidTr="00A16FA9">
        <w:trPr>
          <w:jc w:val="center"/>
        </w:trPr>
        <w:tc>
          <w:tcPr>
            <w:tcW w:w="0" w:type="auto"/>
            <w:tcBorders>
              <w:top w:val="nil"/>
              <w:left w:val="single" w:sz="12" w:space="0" w:color="auto"/>
              <w:bottom w:val="single" w:sz="4" w:space="0" w:color="auto"/>
              <w:right w:val="single" w:sz="12" w:space="0" w:color="auto"/>
            </w:tcBorders>
            <w:shd w:val="clear" w:color="auto" w:fill="auto"/>
            <w:noWrap/>
            <w:vAlign w:val="bottom"/>
            <w:hideMark/>
          </w:tcPr>
          <w:p w:rsidR="00950BDF" w:rsidRPr="00CA6AE8" w:rsidRDefault="00950BDF" w:rsidP="00F71484">
            <w:pPr>
              <w:spacing w:after="0" w:line="240" w:lineRule="auto"/>
              <w:ind w:left="113" w:right="113"/>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Великобритания</w:t>
            </w:r>
          </w:p>
        </w:tc>
        <w:tc>
          <w:tcPr>
            <w:tcW w:w="0" w:type="auto"/>
            <w:tcBorders>
              <w:top w:val="nil"/>
              <w:left w:val="single" w:sz="12" w:space="0" w:color="auto"/>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center"/>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ALWR</w:t>
            </w:r>
          </w:p>
        </w:tc>
        <w:tc>
          <w:tcPr>
            <w:tcW w:w="0" w:type="auto"/>
            <w:tcBorders>
              <w:top w:val="nil"/>
              <w:left w:val="nil"/>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center"/>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3300</w:t>
            </w:r>
          </w:p>
        </w:tc>
        <w:tc>
          <w:tcPr>
            <w:tcW w:w="0" w:type="auto"/>
            <w:tcBorders>
              <w:top w:val="nil"/>
              <w:left w:val="nil"/>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64</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38</w:t>
            </w:r>
          </w:p>
        </w:tc>
        <w:tc>
          <w:tcPr>
            <w:tcW w:w="0" w:type="auto"/>
            <w:tcBorders>
              <w:top w:val="nil"/>
              <w:left w:val="nil"/>
              <w:bottom w:val="single" w:sz="4"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100</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75</w:t>
            </w:r>
          </w:p>
        </w:tc>
        <w:tc>
          <w:tcPr>
            <w:tcW w:w="0" w:type="auto"/>
            <w:tcBorders>
              <w:top w:val="nil"/>
              <w:left w:val="nil"/>
              <w:bottom w:val="single" w:sz="4" w:space="0" w:color="auto"/>
              <w:right w:val="single" w:sz="12"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135</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72</w:t>
            </w:r>
          </w:p>
        </w:tc>
      </w:tr>
      <w:tr w:rsidR="00950BDF" w:rsidRPr="00CA6AE8" w:rsidTr="00A16FA9">
        <w:trPr>
          <w:jc w:val="center"/>
        </w:trPr>
        <w:tc>
          <w:tcPr>
            <w:tcW w:w="0" w:type="auto"/>
            <w:tcBorders>
              <w:top w:val="nil"/>
              <w:left w:val="single" w:sz="12" w:space="0" w:color="auto"/>
              <w:bottom w:val="single" w:sz="12" w:space="0" w:color="auto"/>
              <w:right w:val="single" w:sz="12" w:space="0" w:color="auto"/>
            </w:tcBorders>
            <w:shd w:val="clear" w:color="auto" w:fill="auto"/>
            <w:noWrap/>
            <w:vAlign w:val="bottom"/>
            <w:hideMark/>
          </w:tcPr>
          <w:p w:rsidR="00950BDF" w:rsidRPr="00CA6AE8" w:rsidRDefault="00950BDF" w:rsidP="00F71484">
            <w:pPr>
              <w:spacing w:after="0" w:line="240" w:lineRule="auto"/>
              <w:ind w:left="113" w:right="113"/>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САЩ</w:t>
            </w:r>
          </w:p>
        </w:tc>
        <w:tc>
          <w:tcPr>
            <w:tcW w:w="0" w:type="auto"/>
            <w:tcBorders>
              <w:top w:val="nil"/>
              <w:left w:val="single" w:sz="12" w:space="0" w:color="auto"/>
              <w:bottom w:val="single" w:sz="12"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center"/>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ALWR</w:t>
            </w:r>
          </w:p>
        </w:tc>
        <w:tc>
          <w:tcPr>
            <w:tcW w:w="0" w:type="auto"/>
            <w:tcBorders>
              <w:top w:val="nil"/>
              <w:left w:val="nil"/>
              <w:bottom w:val="single" w:sz="12"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center"/>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1400</w:t>
            </w:r>
          </w:p>
        </w:tc>
        <w:tc>
          <w:tcPr>
            <w:tcW w:w="0" w:type="auto"/>
            <w:tcBorders>
              <w:top w:val="nil"/>
              <w:left w:val="nil"/>
              <w:bottom w:val="single" w:sz="12"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54</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34</w:t>
            </w:r>
          </w:p>
        </w:tc>
        <w:tc>
          <w:tcPr>
            <w:tcW w:w="0" w:type="auto"/>
            <w:tcBorders>
              <w:top w:val="nil"/>
              <w:left w:val="nil"/>
              <w:bottom w:val="single" w:sz="12" w:space="0" w:color="auto"/>
              <w:right w:val="single" w:sz="4"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77</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71</w:t>
            </w:r>
          </w:p>
        </w:tc>
        <w:tc>
          <w:tcPr>
            <w:tcW w:w="0" w:type="auto"/>
            <w:tcBorders>
              <w:top w:val="nil"/>
              <w:left w:val="nil"/>
              <w:bottom w:val="single" w:sz="12" w:space="0" w:color="auto"/>
              <w:right w:val="single" w:sz="12" w:space="0" w:color="auto"/>
            </w:tcBorders>
            <w:shd w:val="clear" w:color="auto" w:fill="auto"/>
            <w:noWrap/>
            <w:vAlign w:val="bottom"/>
            <w:hideMark/>
          </w:tcPr>
          <w:p w:rsidR="00950BDF" w:rsidRPr="00CA6AE8" w:rsidRDefault="00950BDF" w:rsidP="00F71484">
            <w:pPr>
              <w:spacing w:after="0" w:line="240" w:lineRule="auto"/>
              <w:ind w:left="113" w:right="113"/>
              <w:jc w:val="right"/>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101</w:t>
            </w:r>
            <w:r w:rsidR="00E6666C">
              <w:rPr>
                <w:rFonts w:ascii="Times New Roman" w:eastAsia="Times New Roman" w:hAnsi="Times New Roman" w:cs="Times New Roman"/>
                <w:color w:val="000000"/>
                <w:sz w:val="20"/>
                <w:szCs w:val="20"/>
              </w:rPr>
              <w:t>,</w:t>
            </w:r>
            <w:r w:rsidRPr="00CA6AE8">
              <w:rPr>
                <w:rFonts w:ascii="Times New Roman" w:eastAsia="Times New Roman" w:hAnsi="Times New Roman" w:cs="Times New Roman"/>
                <w:color w:val="000000"/>
                <w:sz w:val="20"/>
                <w:szCs w:val="20"/>
              </w:rPr>
              <w:t>76</w:t>
            </w:r>
          </w:p>
        </w:tc>
      </w:tr>
    </w:tbl>
    <w:p w:rsidR="00950BDF" w:rsidRDefault="00950BDF" w:rsidP="00E44C19">
      <w:pPr>
        <w:spacing w:before="120" w:after="120" w:line="240" w:lineRule="auto"/>
        <w:jc w:val="center"/>
        <w:rPr>
          <w:rFonts w:ascii="Times New Roman" w:hAnsi="Times New Roman" w:cs="Times New Roman"/>
          <w:sz w:val="20"/>
          <w:szCs w:val="24"/>
        </w:rPr>
      </w:pPr>
      <w:r w:rsidRPr="00CA6AE8">
        <w:rPr>
          <w:rFonts w:ascii="Times New Roman" w:hAnsi="Times New Roman" w:cs="Times New Roman"/>
          <w:sz w:val="20"/>
          <w:szCs w:val="24"/>
        </w:rPr>
        <w:t>Източник: Projected</w:t>
      </w:r>
      <w:r w:rsidR="000A609E">
        <w:rPr>
          <w:rFonts w:ascii="Times New Roman" w:hAnsi="Times New Roman" w:cs="Times New Roman"/>
          <w:sz w:val="20"/>
          <w:szCs w:val="24"/>
        </w:rPr>
        <w:t xml:space="preserve"> </w:t>
      </w:r>
      <w:r w:rsidRPr="00CA6AE8">
        <w:rPr>
          <w:rFonts w:ascii="Times New Roman" w:hAnsi="Times New Roman" w:cs="Times New Roman"/>
          <w:sz w:val="20"/>
          <w:szCs w:val="24"/>
        </w:rPr>
        <w:t>Costs</w:t>
      </w:r>
      <w:r w:rsidR="000A609E">
        <w:rPr>
          <w:rFonts w:ascii="Times New Roman" w:hAnsi="Times New Roman" w:cs="Times New Roman"/>
          <w:sz w:val="20"/>
          <w:szCs w:val="24"/>
        </w:rPr>
        <w:t xml:space="preserve"> </w:t>
      </w:r>
      <w:r w:rsidRPr="00CA6AE8">
        <w:rPr>
          <w:rFonts w:ascii="Times New Roman" w:hAnsi="Times New Roman" w:cs="Times New Roman"/>
          <w:sz w:val="20"/>
          <w:szCs w:val="24"/>
        </w:rPr>
        <w:t>of</w:t>
      </w:r>
      <w:r w:rsidR="000A609E">
        <w:rPr>
          <w:rFonts w:ascii="Times New Roman" w:hAnsi="Times New Roman" w:cs="Times New Roman"/>
          <w:sz w:val="20"/>
          <w:szCs w:val="24"/>
        </w:rPr>
        <w:t xml:space="preserve"> </w:t>
      </w:r>
      <w:r w:rsidRPr="00CA6AE8">
        <w:rPr>
          <w:rFonts w:ascii="Times New Roman" w:hAnsi="Times New Roman" w:cs="Times New Roman"/>
          <w:sz w:val="20"/>
          <w:szCs w:val="24"/>
        </w:rPr>
        <w:t>Generating</w:t>
      </w:r>
      <w:r w:rsidR="000A609E">
        <w:rPr>
          <w:rFonts w:ascii="Times New Roman" w:hAnsi="Times New Roman" w:cs="Times New Roman"/>
          <w:sz w:val="20"/>
          <w:szCs w:val="24"/>
        </w:rPr>
        <w:t xml:space="preserve"> </w:t>
      </w:r>
      <w:r w:rsidRPr="00CA6AE8">
        <w:rPr>
          <w:rFonts w:ascii="Times New Roman" w:hAnsi="Times New Roman" w:cs="Times New Roman"/>
          <w:sz w:val="20"/>
          <w:szCs w:val="24"/>
        </w:rPr>
        <w:t>Electricity 2015, International Energy Agency (IEA/OECD/NEA).</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lastRenderedPageBreak/>
        <w:t>За целите на оценката на 6-те варианта на настоящия проект</w:t>
      </w:r>
      <w:r w:rsidR="00F71484">
        <w:rPr>
          <w:rFonts w:ascii="Times New Roman" w:hAnsi="Times New Roman" w:cs="Times New Roman"/>
          <w:sz w:val="24"/>
          <w:szCs w:val="24"/>
        </w:rPr>
        <w:t>,</w:t>
      </w:r>
      <w:r w:rsidRPr="00950BDF">
        <w:rPr>
          <w:rFonts w:ascii="Times New Roman" w:hAnsi="Times New Roman" w:cs="Times New Roman"/>
          <w:sz w:val="24"/>
          <w:szCs w:val="24"/>
        </w:rPr>
        <w:t xml:space="preserve"> са </w:t>
      </w:r>
      <w:r w:rsidRPr="00534E0A">
        <w:rPr>
          <w:rFonts w:ascii="Times New Roman" w:hAnsi="Times New Roman" w:cs="Times New Roman"/>
          <w:sz w:val="24"/>
          <w:szCs w:val="24"/>
        </w:rPr>
        <w:t xml:space="preserve">определени </w:t>
      </w:r>
      <w:r w:rsidR="002E32DB">
        <w:rPr>
          <w:rFonts w:ascii="Times New Roman" w:hAnsi="Times New Roman" w:cs="Times New Roman"/>
          <w:sz w:val="24"/>
          <w:szCs w:val="24"/>
        </w:rPr>
        <w:t>3</w:t>
      </w:r>
      <w:r w:rsidR="000A609E">
        <w:rPr>
          <w:rFonts w:ascii="Times New Roman" w:hAnsi="Times New Roman" w:cs="Times New Roman"/>
          <w:sz w:val="24"/>
          <w:szCs w:val="24"/>
        </w:rPr>
        <w:t xml:space="preserve"> </w:t>
      </w:r>
      <w:r w:rsidR="00534E0A" w:rsidRPr="00534E0A">
        <w:rPr>
          <w:rFonts w:ascii="Times New Roman" w:hAnsi="Times New Roman" w:cs="Times New Roman"/>
          <w:sz w:val="24"/>
          <w:szCs w:val="24"/>
        </w:rPr>
        <w:t xml:space="preserve">различни </w:t>
      </w:r>
      <w:r w:rsidRPr="00534E0A">
        <w:rPr>
          <w:rFonts w:ascii="Times New Roman" w:hAnsi="Times New Roman" w:cs="Times New Roman"/>
          <w:sz w:val="24"/>
          <w:szCs w:val="24"/>
        </w:rPr>
        <w:t>дисконтови норми (</w:t>
      </w:r>
      <w:r w:rsidRPr="00534E0A">
        <w:rPr>
          <w:rFonts w:ascii="Times New Roman" w:hAnsi="Times New Roman" w:cs="Times New Roman"/>
          <w:sz w:val="24"/>
          <w:szCs w:val="24"/>
          <w:lang w:val="en-US"/>
        </w:rPr>
        <w:t>WACC)</w:t>
      </w:r>
      <w:r w:rsidRPr="00534E0A">
        <w:rPr>
          <w:rFonts w:ascii="Times New Roman" w:hAnsi="Times New Roman" w:cs="Times New Roman"/>
          <w:sz w:val="24"/>
          <w:szCs w:val="24"/>
        </w:rPr>
        <w:t>, в зависимост от различните съотношения на дълг/собствен капитал</w:t>
      </w:r>
      <w:r w:rsidR="000A609E">
        <w:rPr>
          <w:rFonts w:ascii="Times New Roman" w:hAnsi="Times New Roman" w:cs="Times New Roman"/>
          <w:sz w:val="24"/>
          <w:szCs w:val="24"/>
        </w:rPr>
        <w:t xml:space="preserve"> </w:t>
      </w:r>
      <w:r w:rsidR="002E32DB">
        <w:rPr>
          <w:rFonts w:ascii="Times New Roman" w:hAnsi="Times New Roman" w:cs="Times New Roman"/>
          <w:sz w:val="24"/>
          <w:szCs w:val="24"/>
        </w:rPr>
        <w:t xml:space="preserve">(вж. </w:t>
      </w:r>
      <w:r w:rsidR="002E32DB" w:rsidRPr="002E32DB">
        <w:rPr>
          <w:rFonts w:ascii="Times New Roman" w:hAnsi="Times New Roman" w:cs="Times New Roman"/>
          <w:sz w:val="24"/>
          <w:szCs w:val="24"/>
        </w:rPr>
        <w:t>Таблица V.</w:t>
      </w:r>
      <w:r w:rsidR="00131809">
        <w:rPr>
          <w:rFonts w:ascii="Times New Roman" w:hAnsi="Times New Roman" w:cs="Times New Roman"/>
          <w:sz w:val="24"/>
          <w:szCs w:val="24"/>
        </w:rPr>
        <w:t>10</w:t>
      </w:r>
      <w:r w:rsidR="002E32DB">
        <w:rPr>
          <w:rFonts w:ascii="Times New Roman" w:hAnsi="Times New Roman" w:cs="Times New Roman"/>
          <w:sz w:val="24"/>
          <w:szCs w:val="24"/>
        </w:rPr>
        <w:t xml:space="preserve">). </w:t>
      </w:r>
      <w:r w:rsidR="002E32DB" w:rsidRPr="00950BDF">
        <w:rPr>
          <w:rFonts w:ascii="Times New Roman" w:hAnsi="Times New Roman" w:cs="Times New Roman"/>
          <w:sz w:val="24"/>
          <w:szCs w:val="24"/>
        </w:rPr>
        <w:t xml:space="preserve">Тези </w:t>
      </w:r>
      <w:r w:rsidRPr="00950BDF">
        <w:rPr>
          <w:rFonts w:ascii="Times New Roman" w:hAnsi="Times New Roman" w:cs="Times New Roman"/>
          <w:sz w:val="24"/>
          <w:szCs w:val="24"/>
        </w:rPr>
        <w:t>стойности са много близки до международния еталон от 7%, използван за сравнение от IEA/OECD/NEA</w:t>
      </w:r>
      <w:r w:rsidRPr="007834EF">
        <w:rPr>
          <w:rFonts w:ascii="Times New Roman" w:hAnsi="Times New Roman" w:cs="Times New Roman"/>
          <w:sz w:val="24"/>
          <w:szCs w:val="24"/>
        </w:rPr>
        <w:t xml:space="preserve">. </w:t>
      </w:r>
      <w:r w:rsidR="00D84DB8" w:rsidRPr="00DB1A1E">
        <w:rPr>
          <w:rFonts w:ascii="Times New Roman" w:hAnsi="Times New Roman" w:cs="Times New Roman"/>
          <w:sz w:val="24"/>
          <w:szCs w:val="24"/>
        </w:rPr>
        <w:t>Изчисленият LCOE на проекта при прилагането на тези норми е 92</w:t>
      </w:r>
      <w:r w:rsidR="000A609E">
        <w:rPr>
          <w:rFonts w:ascii="Times New Roman" w:hAnsi="Times New Roman" w:cs="Times New Roman"/>
          <w:sz w:val="24"/>
          <w:szCs w:val="24"/>
        </w:rPr>
        <w:t>.</w:t>
      </w:r>
      <w:r w:rsidR="00D84DB8" w:rsidRPr="00DB1A1E">
        <w:rPr>
          <w:rFonts w:ascii="Times New Roman" w:hAnsi="Times New Roman" w:cs="Times New Roman"/>
          <w:sz w:val="24"/>
          <w:szCs w:val="24"/>
        </w:rPr>
        <w:t>42 евро/MWh при дисконтова норма 7</w:t>
      </w:r>
      <w:r w:rsidR="000A609E">
        <w:rPr>
          <w:rFonts w:ascii="Times New Roman" w:hAnsi="Times New Roman" w:cs="Times New Roman"/>
          <w:sz w:val="24"/>
          <w:szCs w:val="24"/>
        </w:rPr>
        <w:t>.</w:t>
      </w:r>
      <w:r w:rsidR="00D84DB8" w:rsidRPr="00DB1A1E">
        <w:rPr>
          <w:rFonts w:ascii="Times New Roman" w:hAnsi="Times New Roman" w:cs="Times New Roman"/>
          <w:sz w:val="24"/>
          <w:szCs w:val="24"/>
        </w:rPr>
        <w:t>14%, 89,47 евро/MWh при дисконтова норма 6</w:t>
      </w:r>
      <w:r w:rsidR="000A609E">
        <w:rPr>
          <w:rFonts w:ascii="Times New Roman" w:hAnsi="Times New Roman" w:cs="Times New Roman"/>
          <w:sz w:val="24"/>
          <w:szCs w:val="24"/>
        </w:rPr>
        <w:t>.</w:t>
      </w:r>
      <w:r w:rsidR="00D84DB8" w:rsidRPr="00DB1A1E">
        <w:rPr>
          <w:rFonts w:ascii="Times New Roman" w:hAnsi="Times New Roman" w:cs="Times New Roman"/>
          <w:sz w:val="24"/>
          <w:szCs w:val="24"/>
        </w:rPr>
        <w:t>85% и 86</w:t>
      </w:r>
      <w:r w:rsidR="000A609E">
        <w:rPr>
          <w:rFonts w:ascii="Times New Roman" w:hAnsi="Times New Roman" w:cs="Times New Roman"/>
          <w:sz w:val="24"/>
          <w:szCs w:val="24"/>
        </w:rPr>
        <w:t>.</w:t>
      </w:r>
      <w:r w:rsidR="00D84DB8" w:rsidRPr="00DB1A1E">
        <w:rPr>
          <w:rFonts w:ascii="Times New Roman" w:hAnsi="Times New Roman" w:cs="Times New Roman"/>
          <w:sz w:val="24"/>
          <w:szCs w:val="24"/>
        </w:rPr>
        <w:t>59 евро/MWh при дисконтова норма от 6</w:t>
      </w:r>
      <w:r w:rsidR="000A609E">
        <w:rPr>
          <w:rFonts w:ascii="Times New Roman" w:hAnsi="Times New Roman" w:cs="Times New Roman"/>
          <w:sz w:val="24"/>
          <w:szCs w:val="24"/>
        </w:rPr>
        <w:t>.</w:t>
      </w:r>
      <w:r w:rsidR="00D84DB8" w:rsidRPr="00DB1A1E">
        <w:rPr>
          <w:rFonts w:ascii="Times New Roman" w:hAnsi="Times New Roman" w:cs="Times New Roman"/>
          <w:sz w:val="24"/>
          <w:szCs w:val="24"/>
        </w:rPr>
        <w:t>56%.</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 xml:space="preserve">Съпоставката на LCOE с петте прогнозни сценария на изменение на цените на електроенергията, </w:t>
      </w:r>
      <w:r w:rsidRPr="00684C91">
        <w:rPr>
          <w:rFonts w:ascii="Times New Roman" w:hAnsi="Times New Roman" w:cs="Times New Roman"/>
          <w:sz w:val="24"/>
          <w:szCs w:val="24"/>
        </w:rPr>
        <w:t>представени в табл</w:t>
      </w:r>
      <w:r w:rsidR="00A16FA9" w:rsidRPr="00684C91">
        <w:rPr>
          <w:rFonts w:ascii="Times New Roman" w:hAnsi="Times New Roman" w:cs="Times New Roman"/>
          <w:sz w:val="24"/>
          <w:szCs w:val="24"/>
        </w:rPr>
        <w:t>. V.</w:t>
      </w:r>
      <w:r w:rsidR="00D84DB8">
        <w:rPr>
          <w:rFonts w:ascii="Times New Roman" w:hAnsi="Times New Roman" w:cs="Times New Roman"/>
          <w:sz w:val="24"/>
          <w:szCs w:val="24"/>
        </w:rPr>
        <w:t>8</w:t>
      </w:r>
      <w:r w:rsidRPr="00950BDF">
        <w:rPr>
          <w:rFonts w:ascii="Times New Roman" w:hAnsi="Times New Roman" w:cs="Times New Roman"/>
          <w:sz w:val="24"/>
          <w:szCs w:val="24"/>
        </w:rPr>
        <w:t>, дава най-добра илюстрация на това през коя година от експлоатационния период проектът става печеливш. Най-подходящите за целта са стойностите на LCOE, изчислени при дисконтова норма от 7%, тъй като по-горе при представянето на методологията на финансовия модел бе определена стойност на дисконтов фактор в диапазона от 6</w:t>
      </w:r>
      <w:r w:rsidR="000A609E">
        <w:rPr>
          <w:rFonts w:ascii="Times New Roman" w:hAnsi="Times New Roman" w:cs="Times New Roman"/>
          <w:sz w:val="24"/>
          <w:szCs w:val="24"/>
        </w:rPr>
        <w:t>.</w:t>
      </w:r>
      <w:r w:rsidR="00A16FA9">
        <w:rPr>
          <w:rFonts w:ascii="Times New Roman" w:hAnsi="Times New Roman" w:cs="Times New Roman"/>
          <w:sz w:val="24"/>
          <w:szCs w:val="24"/>
        </w:rPr>
        <w:t>56</w:t>
      </w:r>
      <w:r w:rsidRPr="00950BDF">
        <w:rPr>
          <w:rFonts w:ascii="Times New Roman" w:hAnsi="Times New Roman" w:cs="Times New Roman"/>
          <w:sz w:val="24"/>
          <w:szCs w:val="24"/>
        </w:rPr>
        <w:t>-7</w:t>
      </w:r>
      <w:r w:rsidR="000A609E">
        <w:rPr>
          <w:rFonts w:ascii="Times New Roman" w:hAnsi="Times New Roman" w:cs="Times New Roman"/>
          <w:sz w:val="24"/>
          <w:szCs w:val="24"/>
        </w:rPr>
        <w:t>.</w:t>
      </w:r>
      <w:r w:rsidRPr="00950BDF">
        <w:rPr>
          <w:rFonts w:ascii="Times New Roman" w:hAnsi="Times New Roman" w:cs="Times New Roman"/>
          <w:sz w:val="24"/>
          <w:szCs w:val="24"/>
        </w:rPr>
        <w:t xml:space="preserve">14% за изчисляване на </w:t>
      </w:r>
      <w:r w:rsidRPr="00950BDF">
        <w:rPr>
          <w:rFonts w:ascii="Times New Roman" w:hAnsi="Times New Roman" w:cs="Times New Roman"/>
          <w:sz w:val="24"/>
          <w:szCs w:val="24"/>
          <w:lang w:val="en-US"/>
        </w:rPr>
        <w:t>NPV</w:t>
      </w:r>
      <w:r w:rsidRPr="00950BDF">
        <w:rPr>
          <w:rFonts w:ascii="Times New Roman" w:hAnsi="Times New Roman" w:cs="Times New Roman"/>
          <w:sz w:val="24"/>
          <w:szCs w:val="24"/>
        </w:rPr>
        <w:t xml:space="preserve"> и оценка на</w:t>
      </w:r>
      <w:r w:rsidRPr="00950BDF">
        <w:rPr>
          <w:rFonts w:ascii="Times New Roman" w:hAnsi="Times New Roman" w:cs="Times New Roman"/>
          <w:sz w:val="24"/>
          <w:szCs w:val="24"/>
          <w:lang w:val="en-US"/>
        </w:rPr>
        <w:t xml:space="preserve"> IRR</w:t>
      </w:r>
      <w:r w:rsidRPr="00950BDF">
        <w:rPr>
          <w:rFonts w:ascii="Times New Roman" w:hAnsi="Times New Roman" w:cs="Times New Roman"/>
          <w:sz w:val="24"/>
          <w:szCs w:val="24"/>
        </w:rPr>
        <w:t xml:space="preserve"> на отделните варианти. Съпоставката на LCOE при дисконтова норма от 7% с петте ценови сценария е представена на фиг</w:t>
      </w:r>
      <w:r w:rsidR="00A73480">
        <w:rPr>
          <w:rFonts w:ascii="Times New Roman" w:hAnsi="Times New Roman" w:cs="Times New Roman"/>
          <w:sz w:val="24"/>
          <w:szCs w:val="24"/>
        </w:rPr>
        <w:t>.</w:t>
      </w:r>
      <w:r w:rsidR="00A73480">
        <w:rPr>
          <w:rFonts w:ascii="Times New Roman" w:hAnsi="Times New Roman" w:cs="Times New Roman"/>
          <w:sz w:val="24"/>
          <w:szCs w:val="24"/>
          <w:lang w:val="en-US"/>
        </w:rPr>
        <w:t xml:space="preserve"> V.</w:t>
      </w:r>
      <w:r w:rsidR="00D84DB8">
        <w:rPr>
          <w:rFonts w:ascii="Times New Roman" w:hAnsi="Times New Roman" w:cs="Times New Roman"/>
          <w:sz w:val="24"/>
          <w:szCs w:val="24"/>
        </w:rPr>
        <w:t>9</w:t>
      </w:r>
      <w:r w:rsidR="00A73480">
        <w:rPr>
          <w:rFonts w:ascii="Times New Roman" w:hAnsi="Times New Roman" w:cs="Times New Roman"/>
          <w:sz w:val="24"/>
          <w:szCs w:val="24"/>
          <w:lang w:val="en-US"/>
        </w:rPr>
        <w:t xml:space="preserve"> и V.</w:t>
      </w:r>
      <w:r w:rsidR="00D84DB8">
        <w:rPr>
          <w:rFonts w:ascii="Times New Roman" w:hAnsi="Times New Roman" w:cs="Times New Roman"/>
          <w:sz w:val="24"/>
          <w:szCs w:val="24"/>
        </w:rPr>
        <w:t>10</w:t>
      </w:r>
      <w:r w:rsidR="00A73480">
        <w:rPr>
          <w:rFonts w:ascii="Times New Roman" w:hAnsi="Times New Roman" w:cs="Times New Roman"/>
          <w:sz w:val="24"/>
          <w:szCs w:val="24"/>
          <w:lang w:val="en-US"/>
        </w:rPr>
        <w:t>.</w:t>
      </w:r>
    </w:p>
    <w:p w:rsidR="00950BDF" w:rsidRPr="00950BDF" w:rsidRDefault="00950BDF" w:rsidP="00797B98">
      <w:pPr>
        <w:spacing w:before="120" w:after="0" w:line="240" w:lineRule="auto"/>
        <w:jc w:val="both"/>
        <w:rPr>
          <w:rFonts w:ascii="Times New Roman" w:hAnsi="Times New Roman" w:cs="Times New Roman"/>
          <w:sz w:val="24"/>
          <w:szCs w:val="24"/>
        </w:rPr>
      </w:pPr>
      <w:r w:rsidRPr="00950BDF">
        <w:rPr>
          <w:rFonts w:ascii="Times New Roman" w:hAnsi="Times New Roman" w:cs="Times New Roman"/>
          <w:sz w:val="24"/>
          <w:szCs w:val="24"/>
        </w:rPr>
        <w:t xml:space="preserve">Според </w:t>
      </w:r>
      <w:r w:rsidRPr="007834EF">
        <w:rPr>
          <w:rFonts w:ascii="Times New Roman" w:hAnsi="Times New Roman" w:cs="Times New Roman"/>
          <w:sz w:val="24"/>
          <w:szCs w:val="24"/>
        </w:rPr>
        <w:t>получените резултати</w:t>
      </w:r>
      <w:r w:rsidR="00797B98" w:rsidRPr="007834EF">
        <w:rPr>
          <w:rFonts w:ascii="Times New Roman" w:hAnsi="Times New Roman" w:cs="Times New Roman"/>
          <w:sz w:val="24"/>
          <w:szCs w:val="24"/>
        </w:rPr>
        <w:t>,</w:t>
      </w:r>
      <w:r w:rsidRPr="007834EF">
        <w:rPr>
          <w:rFonts w:ascii="Times New Roman" w:hAnsi="Times New Roman" w:cs="Times New Roman"/>
          <w:sz w:val="24"/>
          <w:szCs w:val="24"/>
        </w:rPr>
        <w:t xml:space="preserve"> цените достигат нивото на LCOE, при което проектът става печеливш при: </w:t>
      </w:r>
      <w:r w:rsidRPr="00DB1A1E">
        <w:rPr>
          <w:rFonts w:ascii="Times New Roman" w:hAnsi="Times New Roman" w:cs="Times New Roman"/>
          <w:sz w:val="24"/>
          <w:szCs w:val="24"/>
        </w:rPr>
        <w:t>а) максимален сценарий – през 205</w:t>
      </w:r>
      <w:r w:rsidR="00925623" w:rsidRPr="00DB1A1E">
        <w:rPr>
          <w:rFonts w:ascii="Times New Roman" w:hAnsi="Times New Roman" w:cs="Times New Roman"/>
          <w:sz w:val="24"/>
          <w:szCs w:val="24"/>
        </w:rPr>
        <w:t>2</w:t>
      </w:r>
      <w:r w:rsidRPr="00DB1A1E">
        <w:rPr>
          <w:rFonts w:ascii="Times New Roman" w:hAnsi="Times New Roman" w:cs="Times New Roman"/>
          <w:sz w:val="24"/>
          <w:szCs w:val="24"/>
        </w:rPr>
        <w:t xml:space="preserve"> г. или на 2</w:t>
      </w:r>
      <w:r w:rsidR="00925623" w:rsidRPr="00DB1A1E">
        <w:rPr>
          <w:rFonts w:ascii="Times New Roman" w:hAnsi="Times New Roman" w:cs="Times New Roman"/>
          <w:sz w:val="24"/>
          <w:szCs w:val="24"/>
        </w:rPr>
        <w:t>6</w:t>
      </w:r>
      <w:r w:rsidRPr="00DB1A1E">
        <w:rPr>
          <w:rFonts w:ascii="Times New Roman" w:hAnsi="Times New Roman" w:cs="Times New Roman"/>
          <w:sz w:val="24"/>
          <w:szCs w:val="24"/>
        </w:rPr>
        <w:t>-та година от периода на експлоатация, б) минимален сценарий – през 20</w:t>
      </w:r>
      <w:r w:rsidR="00925623" w:rsidRPr="00DB1A1E">
        <w:rPr>
          <w:rFonts w:ascii="Times New Roman" w:hAnsi="Times New Roman" w:cs="Times New Roman"/>
          <w:sz w:val="24"/>
          <w:szCs w:val="24"/>
        </w:rPr>
        <w:t>80</w:t>
      </w:r>
      <w:r w:rsidRPr="00DB1A1E">
        <w:rPr>
          <w:rFonts w:ascii="Times New Roman" w:hAnsi="Times New Roman" w:cs="Times New Roman"/>
          <w:sz w:val="24"/>
          <w:szCs w:val="24"/>
        </w:rPr>
        <w:t xml:space="preserve"> г. или на 5</w:t>
      </w:r>
      <w:r w:rsidR="00925623" w:rsidRPr="00DB1A1E">
        <w:rPr>
          <w:rFonts w:ascii="Times New Roman" w:hAnsi="Times New Roman" w:cs="Times New Roman"/>
          <w:sz w:val="24"/>
          <w:szCs w:val="24"/>
        </w:rPr>
        <w:t>4</w:t>
      </w:r>
      <w:r w:rsidRPr="00DB1A1E">
        <w:rPr>
          <w:rFonts w:ascii="Times New Roman" w:hAnsi="Times New Roman" w:cs="Times New Roman"/>
          <w:sz w:val="24"/>
          <w:szCs w:val="24"/>
        </w:rPr>
        <w:t>-</w:t>
      </w:r>
      <w:r w:rsidR="007834EF">
        <w:rPr>
          <w:rFonts w:ascii="Times New Roman" w:hAnsi="Times New Roman" w:cs="Times New Roman"/>
          <w:sz w:val="24"/>
          <w:szCs w:val="24"/>
        </w:rPr>
        <w:t xml:space="preserve">та </w:t>
      </w:r>
      <w:r w:rsidRPr="00DB1A1E">
        <w:rPr>
          <w:rFonts w:ascii="Times New Roman" w:hAnsi="Times New Roman" w:cs="Times New Roman"/>
          <w:sz w:val="24"/>
          <w:szCs w:val="24"/>
        </w:rPr>
        <w:t>година от периода на експлоатация и в) среден сценарий – през 206</w:t>
      </w:r>
      <w:r w:rsidR="00925623" w:rsidRPr="00DB1A1E">
        <w:rPr>
          <w:rFonts w:ascii="Times New Roman" w:hAnsi="Times New Roman" w:cs="Times New Roman"/>
          <w:sz w:val="24"/>
          <w:szCs w:val="24"/>
        </w:rPr>
        <w:t>5</w:t>
      </w:r>
      <w:r w:rsidRPr="00DB1A1E">
        <w:rPr>
          <w:rFonts w:ascii="Times New Roman" w:hAnsi="Times New Roman" w:cs="Times New Roman"/>
          <w:sz w:val="24"/>
          <w:szCs w:val="24"/>
        </w:rPr>
        <w:t xml:space="preserve"> г. или </w:t>
      </w:r>
      <w:r w:rsidR="007834EF">
        <w:rPr>
          <w:rFonts w:ascii="Times New Roman" w:hAnsi="Times New Roman" w:cs="Times New Roman"/>
          <w:sz w:val="24"/>
          <w:szCs w:val="24"/>
        </w:rPr>
        <w:t xml:space="preserve">на </w:t>
      </w:r>
      <w:r w:rsidRPr="00DB1A1E">
        <w:rPr>
          <w:rFonts w:ascii="Times New Roman" w:hAnsi="Times New Roman" w:cs="Times New Roman"/>
          <w:sz w:val="24"/>
          <w:szCs w:val="24"/>
        </w:rPr>
        <w:t>3</w:t>
      </w:r>
      <w:r w:rsidR="00925623" w:rsidRPr="00DB1A1E">
        <w:rPr>
          <w:rFonts w:ascii="Times New Roman" w:hAnsi="Times New Roman" w:cs="Times New Roman"/>
          <w:sz w:val="24"/>
          <w:szCs w:val="24"/>
        </w:rPr>
        <w:t>9</w:t>
      </w:r>
      <w:r w:rsidR="007834EF">
        <w:rPr>
          <w:rFonts w:ascii="Times New Roman" w:hAnsi="Times New Roman" w:cs="Times New Roman"/>
          <w:sz w:val="24"/>
          <w:szCs w:val="24"/>
        </w:rPr>
        <w:t>-та</w:t>
      </w:r>
      <w:r w:rsidRPr="00DB1A1E">
        <w:rPr>
          <w:rFonts w:ascii="Times New Roman" w:hAnsi="Times New Roman" w:cs="Times New Roman"/>
          <w:sz w:val="24"/>
          <w:szCs w:val="24"/>
        </w:rPr>
        <w:t xml:space="preserve"> година от периода на експлоатация (вж.</w:t>
      </w:r>
      <w:r w:rsidR="00E2036B" w:rsidRPr="00DB1A1E">
        <w:rPr>
          <w:rFonts w:ascii="Times New Roman" w:hAnsi="Times New Roman" w:cs="Times New Roman"/>
          <w:sz w:val="24"/>
          <w:szCs w:val="24"/>
        </w:rPr>
        <w:t xml:space="preserve"> фиг. </w:t>
      </w:r>
      <w:r w:rsidR="00E2036B" w:rsidRPr="00DB1A1E">
        <w:rPr>
          <w:rFonts w:ascii="Times New Roman" w:hAnsi="Times New Roman" w:cs="Times New Roman"/>
          <w:sz w:val="24"/>
          <w:szCs w:val="24"/>
          <w:lang w:val="en-US"/>
        </w:rPr>
        <w:t>V.</w:t>
      </w:r>
      <w:r w:rsidR="00E2036B" w:rsidRPr="00DB1A1E">
        <w:rPr>
          <w:rFonts w:ascii="Times New Roman" w:hAnsi="Times New Roman" w:cs="Times New Roman"/>
          <w:sz w:val="24"/>
          <w:szCs w:val="24"/>
        </w:rPr>
        <w:t>9</w:t>
      </w:r>
      <w:r w:rsidRPr="00DB1A1E">
        <w:rPr>
          <w:rFonts w:ascii="Times New Roman" w:hAnsi="Times New Roman" w:cs="Times New Roman"/>
          <w:sz w:val="24"/>
          <w:szCs w:val="24"/>
        </w:rPr>
        <w:t>).</w:t>
      </w:r>
    </w:p>
    <w:p w:rsidR="00950BDF" w:rsidRPr="00D84DB8" w:rsidRDefault="00D84DB8" w:rsidP="00D84DB8">
      <w:pPr>
        <w:pStyle w:val="Caption"/>
        <w:rPr>
          <w:rFonts w:ascii="Times New Roman" w:hAnsi="Times New Roman"/>
          <w:szCs w:val="24"/>
        </w:rPr>
      </w:pPr>
      <w:bookmarkStart w:id="167" w:name="_Toc491990998"/>
      <w:bookmarkStart w:id="168" w:name="_Toc491994435"/>
      <w:bookmarkStart w:id="169" w:name="_Toc493240925"/>
      <w:r w:rsidRPr="00DB1A1E">
        <w:rPr>
          <w:rFonts w:hint="eastAsia"/>
        </w:rPr>
        <w:t>Фигура</w:t>
      </w:r>
      <w:r w:rsidRPr="00DB1A1E">
        <w:t xml:space="preserve"> V.</w:t>
      </w:r>
      <w:r w:rsidR="0097530B">
        <w:fldChar w:fldCharType="begin"/>
      </w:r>
      <w:r w:rsidR="00042F89">
        <w:instrText xml:space="preserve"> SEQ Фигура_V. \* ARABIC </w:instrText>
      </w:r>
      <w:r w:rsidR="0097530B">
        <w:fldChar w:fldCharType="separate"/>
      </w:r>
      <w:r w:rsidR="00F44EBF">
        <w:rPr>
          <w:noProof/>
        </w:rPr>
        <w:t>9</w:t>
      </w:r>
      <w:r w:rsidR="0097530B">
        <w:rPr>
          <w:noProof/>
        </w:rPr>
        <w:fldChar w:fldCharType="end"/>
      </w:r>
      <w:r w:rsidRPr="00DB1A1E">
        <w:rPr>
          <w:rFonts w:asciiTheme="minorHAnsi" w:hAnsiTheme="minorHAnsi"/>
        </w:rPr>
        <w:t xml:space="preserve">. </w:t>
      </w:r>
      <w:r w:rsidR="00950BDF" w:rsidRPr="00DB1A1E">
        <w:rPr>
          <w:rFonts w:ascii="Times New Roman" w:hAnsi="Times New Roman"/>
          <w:szCs w:val="24"/>
        </w:rPr>
        <w:t>LCOE при дисконтова норма от 7% и цени на електроенергията за вътрешния пазар</w:t>
      </w:r>
      <w:bookmarkEnd w:id="167"/>
      <w:bookmarkEnd w:id="168"/>
      <w:bookmarkEnd w:id="169"/>
    </w:p>
    <w:p w:rsidR="00950BDF" w:rsidRPr="00CA6AE8" w:rsidRDefault="00BA0B03" w:rsidP="00E44C19">
      <w:pPr>
        <w:spacing w:before="120" w:after="120" w:line="240" w:lineRule="auto"/>
        <w:jc w:val="center"/>
        <w:rPr>
          <w:rFonts w:ascii="Times New Roman" w:hAnsi="Times New Roman" w:cs="Times New Roman"/>
          <w:sz w:val="20"/>
          <w:szCs w:val="24"/>
        </w:rPr>
      </w:pPr>
      <w:r>
        <w:rPr>
          <w:noProof/>
        </w:rPr>
        <w:drawing>
          <wp:inline distT="0" distB="0" distL="0" distR="0">
            <wp:extent cx="5591175" cy="31337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50BDF" w:rsidRDefault="00950BDF" w:rsidP="00E44C19">
      <w:pPr>
        <w:spacing w:before="120" w:after="120" w:line="240" w:lineRule="auto"/>
        <w:jc w:val="center"/>
        <w:rPr>
          <w:rFonts w:ascii="Times New Roman" w:hAnsi="Times New Roman" w:cs="Times New Roman"/>
          <w:sz w:val="20"/>
          <w:szCs w:val="24"/>
        </w:rPr>
      </w:pPr>
      <w:r w:rsidRPr="00CA6AE8">
        <w:rPr>
          <w:rFonts w:ascii="Times New Roman" w:hAnsi="Times New Roman" w:cs="Times New Roman"/>
          <w:sz w:val="20"/>
          <w:szCs w:val="24"/>
        </w:rPr>
        <w:t>Източник: Съставена от авторите на основа на получени резултати от модела.</w:t>
      </w:r>
    </w:p>
    <w:p w:rsidR="00233DB8" w:rsidRDefault="00233DB8" w:rsidP="00E44C19">
      <w:pPr>
        <w:spacing w:before="120" w:after="120" w:line="240" w:lineRule="auto"/>
        <w:jc w:val="center"/>
        <w:rPr>
          <w:rFonts w:ascii="Times New Roman" w:hAnsi="Times New Roman" w:cs="Times New Roman"/>
          <w:sz w:val="20"/>
          <w:szCs w:val="24"/>
        </w:rPr>
      </w:pPr>
    </w:p>
    <w:p w:rsidR="00797B98" w:rsidRPr="00950BDF" w:rsidRDefault="00797B98" w:rsidP="00797B98">
      <w:pPr>
        <w:spacing w:before="120" w:after="120" w:line="240" w:lineRule="auto"/>
        <w:jc w:val="both"/>
        <w:rPr>
          <w:rFonts w:ascii="Times New Roman" w:hAnsi="Times New Roman" w:cs="Times New Roman"/>
          <w:sz w:val="24"/>
          <w:szCs w:val="24"/>
        </w:rPr>
      </w:pPr>
      <w:bookmarkStart w:id="170" w:name="_Toc491990999"/>
      <w:bookmarkStart w:id="171" w:name="_Toc491994436"/>
      <w:r w:rsidRPr="00950BDF">
        <w:rPr>
          <w:rFonts w:ascii="Times New Roman" w:hAnsi="Times New Roman" w:cs="Times New Roman"/>
          <w:sz w:val="24"/>
          <w:szCs w:val="24"/>
        </w:rPr>
        <w:t xml:space="preserve">При другите допускания </w:t>
      </w:r>
      <w:r w:rsidR="007834EF">
        <w:rPr>
          <w:rFonts w:ascii="Times New Roman" w:hAnsi="Times New Roman" w:cs="Times New Roman"/>
          <w:sz w:val="24"/>
          <w:szCs w:val="24"/>
        </w:rPr>
        <w:t>з</w:t>
      </w:r>
      <w:r w:rsidRPr="007834EF">
        <w:rPr>
          <w:rFonts w:ascii="Times New Roman" w:hAnsi="Times New Roman" w:cs="Times New Roman"/>
          <w:sz w:val="24"/>
          <w:szCs w:val="24"/>
        </w:rPr>
        <w:t xml:space="preserve">а ценови равнища, те достигат нивото на LCOE, при което проектът става печеливш за: </w:t>
      </w:r>
      <w:r w:rsidRPr="00DB1A1E">
        <w:rPr>
          <w:rFonts w:ascii="Times New Roman" w:hAnsi="Times New Roman" w:cs="Times New Roman"/>
          <w:sz w:val="24"/>
          <w:szCs w:val="24"/>
        </w:rPr>
        <w:t>а) Сценарий 3 – през 20</w:t>
      </w:r>
      <w:r w:rsidR="00C126EA" w:rsidRPr="00DB1A1E">
        <w:rPr>
          <w:rFonts w:ascii="Times New Roman" w:hAnsi="Times New Roman" w:cs="Times New Roman"/>
          <w:sz w:val="24"/>
          <w:szCs w:val="24"/>
        </w:rPr>
        <w:t>60</w:t>
      </w:r>
      <w:r w:rsidRPr="00DB1A1E">
        <w:rPr>
          <w:rFonts w:ascii="Times New Roman" w:hAnsi="Times New Roman" w:cs="Times New Roman"/>
          <w:sz w:val="24"/>
          <w:szCs w:val="24"/>
        </w:rPr>
        <w:t xml:space="preserve"> г. или на 3</w:t>
      </w:r>
      <w:r w:rsidR="00C126EA" w:rsidRPr="00DB1A1E">
        <w:rPr>
          <w:rFonts w:ascii="Times New Roman" w:hAnsi="Times New Roman" w:cs="Times New Roman"/>
          <w:sz w:val="24"/>
          <w:szCs w:val="24"/>
        </w:rPr>
        <w:t>4</w:t>
      </w:r>
      <w:r w:rsidRPr="00DB1A1E">
        <w:rPr>
          <w:rFonts w:ascii="Times New Roman" w:hAnsi="Times New Roman" w:cs="Times New Roman"/>
          <w:sz w:val="24"/>
          <w:szCs w:val="24"/>
        </w:rPr>
        <w:t>-та година от периода на експлоатация, б) Сценарий 6 – през 205</w:t>
      </w:r>
      <w:r w:rsidR="00C126EA" w:rsidRPr="00DB1A1E">
        <w:rPr>
          <w:rFonts w:ascii="Times New Roman" w:hAnsi="Times New Roman" w:cs="Times New Roman"/>
          <w:sz w:val="24"/>
          <w:szCs w:val="24"/>
        </w:rPr>
        <w:t>2</w:t>
      </w:r>
      <w:r w:rsidRPr="00DB1A1E">
        <w:rPr>
          <w:rFonts w:ascii="Times New Roman" w:hAnsi="Times New Roman" w:cs="Times New Roman"/>
          <w:sz w:val="24"/>
          <w:szCs w:val="24"/>
        </w:rPr>
        <w:t xml:space="preserve"> г. или на 2</w:t>
      </w:r>
      <w:r w:rsidR="00C126EA" w:rsidRPr="00DB1A1E">
        <w:rPr>
          <w:rFonts w:ascii="Times New Roman" w:hAnsi="Times New Roman" w:cs="Times New Roman"/>
          <w:sz w:val="24"/>
          <w:szCs w:val="24"/>
        </w:rPr>
        <w:t>6</w:t>
      </w:r>
      <w:r w:rsidRPr="00DB1A1E">
        <w:rPr>
          <w:rFonts w:ascii="Times New Roman" w:hAnsi="Times New Roman" w:cs="Times New Roman"/>
          <w:sz w:val="24"/>
          <w:szCs w:val="24"/>
        </w:rPr>
        <w:t xml:space="preserve">-та година от периода на експлоатация (вж. фиг. </w:t>
      </w:r>
      <w:r w:rsidRPr="00DB1A1E">
        <w:rPr>
          <w:rFonts w:ascii="Times New Roman" w:hAnsi="Times New Roman" w:cs="Times New Roman"/>
          <w:sz w:val="24"/>
          <w:szCs w:val="24"/>
          <w:lang w:val="en-US"/>
        </w:rPr>
        <w:t>V.</w:t>
      </w:r>
      <w:r w:rsidRPr="00DB1A1E">
        <w:rPr>
          <w:rFonts w:ascii="Times New Roman" w:hAnsi="Times New Roman" w:cs="Times New Roman"/>
          <w:sz w:val="24"/>
          <w:szCs w:val="24"/>
        </w:rPr>
        <w:t>10).</w:t>
      </w:r>
    </w:p>
    <w:p w:rsidR="00950BDF" w:rsidRPr="00D84DB8" w:rsidRDefault="00D84DB8" w:rsidP="00AB0E25">
      <w:pPr>
        <w:pStyle w:val="Caption"/>
        <w:keepNext/>
        <w:rPr>
          <w:rFonts w:ascii="Times New Roman" w:hAnsi="Times New Roman"/>
          <w:szCs w:val="24"/>
        </w:rPr>
      </w:pPr>
      <w:bookmarkStart w:id="172" w:name="_Toc493240926"/>
      <w:r w:rsidRPr="00DB1A1E">
        <w:rPr>
          <w:rFonts w:hint="eastAsia"/>
        </w:rPr>
        <w:lastRenderedPageBreak/>
        <w:t>Фигура</w:t>
      </w:r>
      <w:r w:rsidRPr="00DB1A1E">
        <w:t xml:space="preserve"> V.</w:t>
      </w:r>
      <w:r w:rsidR="0097530B">
        <w:fldChar w:fldCharType="begin"/>
      </w:r>
      <w:r w:rsidR="00042F89">
        <w:instrText xml:space="preserve"> SEQ Фигура_V. \* ARABIC </w:instrText>
      </w:r>
      <w:r w:rsidR="0097530B">
        <w:fldChar w:fldCharType="separate"/>
      </w:r>
      <w:r w:rsidR="00F44EBF">
        <w:rPr>
          <w:noProof/>
        </w:rPr>
        <w:t>10</w:t>
      </w:r>
      <w:r w:rsidR="0097530B">
        <w:rPr>
          <w:noProof/>
        </w:rPr>
        <w:fldChar w:fldCharType="end"/>
      </w:r>
      <w:r w:rsidRPr="00DB1A1E">
        <w:rPr>
          <w:rFonts w:asciiTheme="minorHAnsi" w:hAnsiTheme="minorHAnsi"/>
        </w:rPr>
        <w:t xml:space="preserve">. </w:t>
      </w:r>
      <w:r w:rsidR="00950BDF" w:rsidRPr="00DB1A1E">
        <w:rPr>
          <w:rFonts w:ascii="Times New Roman" w:hAnsi="Times New Roman"/>
          <w:szCs w:val="24"/>
        </w:rPr>
        <w:t xml:space="preserve">LCOE при дисконтова норма от 7% и цени на електроенергия при среднопретеглена регионална цена само за България, Гърция, Румъния и Унгария </w:t>
      </w:r>
      <w:r w:rsidR="00A73480" w:rsidRPr="00DB1A1E">
        <w:rPr>
          <w:rFonts w:ascii="Times New Roman" w:hAnsi="Times New Roman"/>
          <w:szCs w:val="24"/>
        </w:rPr>
        <w:t>–</w:t>
      </w:r>
      <w:r w:rsidR="00950BDF" w:rsidRPr="00DB1A1E">
        <w:rPr>
          <w:rFonts w:ascii="Times New Roman" w:hAnsi="Times New Roman"/>
          <w:szCs w:val="24"/>
        </w:rPr>
        <w:t xml:space="preserve"> Сценарий 3 и при само за България, Гърция, Румъния и Унгария и частично за Сърбия и Турция </w:t>
      </w:r>
      <w:r w:rsidR="00A73480" w:rsidRPr="00DB1A1E">
        <w:rPr>
          <w:rFonts w:ascii="Times New Roman" w:hAnsi="Times New Roman"/>
          <w:szCs w:val="24"/>
        </w:rPr>
        <w:t>–</w:t>
      </w:r>
      <w:r w:rsidR="00950BDF" w:rsidRPr="00DB1A1E">
        <w:rPr>
          <w:rFonts w:ascii="Times New Roman" w:hAnsi="Times New Roman"/>
          <w:szCs w:val="24"/>
        </w:rPr>
        <w:t xml:space="preserve"> Сценарий 6</w:t>
      </w:r>
      <w:bookmarkEnd w:id="170"/>
      <w:bookmarkEnd w:id="171"/>
      <w:bookmarkEnd w:id="172"/>
    </w:p>
    <w:p w:rsidR="00950BDF" w:rsidRPr="00CA6AE8" w:rsidRDefault="00925623" w:rsidP="00E44C19">
      <w:pPr>
        <w:spacing w:before="120" w:after="120" w:line="240" w:lineRule="auto"/>
        <w:jc w:val="center"/>
        <w:rPr>
          <w:rFonts w:ascii="Times New Roman" w:hAnsi="Times New Roman" w:cs="Times New Roman"/>
          <w:noProof/>
          <w:sz w:val="20"/>
          <w:szCs w:val="24"/>
        </w:rPr>
      </w:pPr>
      <w:r>
        <w:rPr>
          <w:noProof/>
        </w:rPr>
        <w:drawing>
          <wp:inline distT="0" distB="0" distL="0" distR="0">
            <wp:extent cx="5476875" cy="3371850"/>
            <wp:effectExtent l="0" t="0" r="9525"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50BDF" w:rsidRDefault="00950BDF" w:rsidP="00E44C19">
      <w:pPr>
        <w:spacing w:before="120" w:after="120" w:line="240" w:lineRule="auto"/>
        <w:jc w:val="center"/>
        <w:rPr>
          <w:rFonts w:ascii="Times New Roman" w:hAnsi="Times New Roman" w:cs="Times New Roman"/>
          <w:sz w:val="20"/>
          <w:szCs w:val="24"/>
        </w:rPr>
      </w:pPr>
      <w:r w:rsidRPr="00CA6AE8">
        <w:rPr>
          <w:rFonts w:ascii="Times New Roman" w:hAnsi="Times New Roman" w:cs="Times New Roman"/>
          <w:sz w:val="20"/>
          <w:szCs w:val="24"/>
        </w:rPr>
        <w:t>Източник: Съставена от авторите на основа на получени резултати от модела.</w:t>
      </w:r>
    </w:p>
    <w:p w:rsidR="007834EF" w:rsidRDefault="007834EF" w:rsidP="00E44C19">
      <w:pPr>
        <w:spacing w:before="120" w:after="120" w:line="240" w:lineRule="auto"/>
        <w:jc w:val="both"/>
        <w:rPr>
          <w:rFonts w:ascii="Times New Roman" w:hAnsi="Times New Roman" w:cs="Times New Roman"/>
          <w:sz w:val="24"/>
          <w:szCs w:val="24"/>
          <w:u w:val="single"/>
        </w:rPr>
      </w:pPr>
    </w:p>
    <w:p w:rsidR="00950BDF" w:rsidRPr="00797B98" w:rsidRDefault="00950BDF" w:rsidP="00E44C19">
      <w:pPr>
        <w:spacing w:before="120" w:after="120" w:line="240" w:lineRule="auto"/>
        <w:jc w:val="both"/>
        <w:rPr>
          <w:rFonts w:ascii="Times New Roman" w:hAnsi="Times New Roman" w:cs="Times New Roman"/>
          <w:sz w:val="24"/>
          <w:szCs w:val="24"/>
          <w:u w:val="single"/>
        </w:rPr>
      </w:pPr>
      <w:r w:rsidRPr="00797B98">
        <w:rPr>
          <w:rFonts w:ascii="Times New Roman" w:hAnsi="Times New Roman" w:cs="Times New Roman"/>
          <w:sz w:val="24"/>
          <w:szCs w:val="24"/>
          <w:u w:val="single"/>
        </w:rPr>
        <w:t>Оценка на нетната настояща стойност и вътрешната норма на възвръщаемост</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За всеки от шестте варианта на финансиране на проекта са прогнозирани финансови потоци и са изчислени:</w:t>
      </w:r>
    </w:p>
    <w:p w:rsidR="00950BDF" w:rsidRPr="00950BDF" w:rsidRDefault="00797B98" w:rsidP="002A32DA">
      <w:pPr>
        <w:pStyle w:val="ListParagraph"/>
        <w:numPr>
          <w:ilvl w:val="0"/>
          <w:numId w:val="16"/>
        </w:numPr>
        <w:spacing w:before="120" w:after="12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финансови показатели,</w:t>
      </w:r>
      <w:r w:rsidR="00950BDF" w:rsidRPr="00950BDF">
        <w:rPr>
          <w:rFonts w:ascii="Times New Roman" w:hAnsi="Times New Roman" w:cs="Times New Roman"/>
          <w:sz w:val="24"/>
          <w:szCs w:val="24"/>
        </w:rPr>
        <w:t xml:space="preserve"> общо за проекта преди финансиране</w:t>
      </w:r>
      <w:r>
        <w:rPr>
          <w:rFonts w:ascii="Times New Roman" w:hAnsi="Times New Roman" w:cs="Times New Roman"/>
          <w:sz w:val="24"/>
          <w:szCs w:val="24"/>
        </w:rPr>
        <w:t xml:space="preserve"> –</w:t>
      </w:r>
      <w:r w:rsidR="00950BDF" w:rsidRPr="00950BDF">
        <w:rPr>
          <w:rFonts w:ascii="Times New Roman" w:hAnsi="Times New Roman" w:cs="Times New Roman"/>
          <w:sz w:val="24"/>
          <w:szCs w:val="24"/>
        </w:rPr>
        <w:t xml:space="preserve"> нетна настояща стойност (NPV) и вътреш</w:t>
      </w:r>
      <w:r>
        <w:rPr>
          <w:rFonts w:ascii="Times New Roman" w:hAnsi="Times New Roman" w:cs="Times New Roman"/>
          <w:sz w:val="24"/>
          <w:szCs w:val="24"/>
        </w:rPr>
        <w:t>на норма на възвръщаемост (IRR);</w:t>
      </w:r>
    </w:p>
    <w:p w:rsidR="00950BDF" w:rsidRPr="00950BDF" w:rsidRDefault="00797B98" w:rsidP="002A32DA">
      <w:pPr>
        <w:pStyle w:val="ListParagraph"/>
        <w:numPr>
          <w:ilvl w:val="0"/>
          <w:numId w:val="16"/>
        </w:numPr>
        <w:spacing w:before="120" w:after="12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ф</w:t>
      </w:r>
      <w:r w:rsidR="00950BDF" w:rsidRPr="00950BDF">
        <w:rPr>
          <w:rFonts w:ascii="Times New Roman" w:hAnsi="Times New Roman" w:cs="Times New Roman"/>
          <w:sz w:val="24"/>
          <w:szCs w:val="24"/>
        </w:rPr>
        <w:t>инансови показатели след финансиране</w:t>
      </w:r>
      <w:r>
        <w:rPr>
          <w:rFonts w:ascii="Times New Roman" w:hAnsi="Times New Roman" w:cs="Times New Roman"/>
          <w:sz w:val="24"/>
          <w:szCs w:val="24"/>
        </w:rPr>
        <w:t xml:space="preserve"> –з</w:t>
      </w:r>
      <w:r w:rsidR="00950BDF" w:rsidRPr="00950BDF">
        <w:rPr>
          <w:rFonts w:ascii="Times New Roman" w:hAnsi="Times New Roman" w:cs="Times New Roman"/>
          <w:sz w:val="24"/>
          <w:szCs w:val="24"/>
        </w:rPr>
        <w:t>а варианти 1, 2 и 3 е изчислена вътрешната норма на възвръщаемост на частния инвеститор (IRR), а за варианти 4, 5 и 6 е изчислена и вътрешната норма на възвръщаемост за държавата.</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Тествана е чувствителността на тези показатели при:</w:t>
      </w:r>
    </w:p>
    <w:p w:rsidR="00950BDF" w:rsidRPr="00950BDF" w:rsidRDefault="00797B98" w:rsidP="002A32DA">
      <w:pPr>
        <w:pStyle w:val="ListParagraph"/>
        <w:numPr>
          <w:ilvl w:val="0"/>
          <w:numId w:val="17"/>
        </w:numPr>
        <w:spacing w:before="120" w:after="12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п</w:t>
      </w:r>
      <w:r w:rsidR="00950BDF" w:rsidRPr="00950BDF">
        <w:rPr>
          <w:rFonts w:ascii="Times New Roman" w:hAnsi="Times New Roman" w:cs="Times New Roman"/>
          <w:sz w:val="24"/>
          <w:szCs w:val="24"/>
        </w:rPr>
        <w:t>ромяна в цените на електроенергия според разработените 5 сценария</w:t>
      </w:r>
      <w:r>
        <w:rPr>
          <w:rFonts w:ascii="Times New Roman" w:hAnsi="Times New Roman" w:cs="Times New Roman"/>
          <w:sz w:val="24"/>
          <w:szCs w:val="24"/>
        </w:rPr>
        <w:t>;</w:t>
      </w:r>
    </w:p>
    <w:p w:rsidR="00950BDF" w:rsidRPr="00950BDF" w:rsidRDefault="00797B98" w:rsidP="002A32DA">
      <w:pPr>
        <w:pStyle w:val="ListParagraph"/>
        <w:numPr>
          <w:ilvl w:val="0"/>
          <w:numId w:val="17"/>
        </w:numPr>
        <w:spacing w:before="120" w:after="12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п</w:t>
      </w:r>
      <w:r w:rsidR="00950BDF" w:rsidRPr="00950BDF">
        <w:rPr>
          <w:rFonts w:ascii="Times New Roman" w:hAnsi="Times New Roman" w:cs="Times New Roman"/>
          <w:sz w:val="24"/>
          <w:szCs w:val="24"/>
        </w:rPr>
        <w:t xml:space="preserve">ромяна на нивото на натоварване на енергийните мощности </w:t>
      </w:r>
      <w:r w:rsidR="00A16FA9">
        <w:rPr>
          <w:rFonts w:ascii="Times New Roman" w:hAnsi="Times New Roman" w:cs="Times New Roman"/>
          <w:sz w:val="24"/>
          <w:szCs w:val="24"/>
        </w:rPr>
        <w:t>–</w:t>
      </w:r>
      <w:r w:rsidR="00950BDF" w:rsidRPr="00950BDF">
        <w:rPr>
          <w:rFonts w:ascii="Times New Roman" w:hAnsi="Times New Roman" w:cs="Times New Roman"/>
          <w:sz w:val="24"/>
          <w:szCs w:val="24"/>
        </w:rPr>
        <w:t xml:space="preserve"> т.нар. </w:t>
      </w:r>
      <w:r w:rsidR="00A16FA9">
        <w:rPr>
          <w:rFonts w:ascii="Times New Roman" w:hAnsi="Times New Roman" w:cs="Times New Roman"/>
          <w:sz w:val="24"/>
          <w:szCs w:val="24"/>
        </w:rPr>
        <w:t>dispatching</w:t>
      </w:r>
      <w:r w:rsidR="000A609E">
        <w:rPr>
          <w:rFonts w:ascii="Times New Roman" w:hAnsi="Times New Roman" w:cs="Times New Roman"/>
          <w:sz w:val="24"/>
          <w:szCs w:val="24"/>
        </w:rPr>
        <w:t xml:space="preserve"> </w:t>
      </w:r>
      <w:r w:rsidR="00A16FA9">
        <w:rPr>
          <w:rFonts w:ascii="Times New Roman" w:hAnsi="Times New Roman" w:cs="Times New Roman"/>
          <w:sz w:val="24"/>
          <w:szCs w:val="24"/>
        </w:rPr>
        <w:t>rate (съответно 100</w:t>
      </w:r>
      <w:r w:rsidR="00950BDF" w:rsidRPr="00950BDF">
        <w:rPr>
          <w:rFonts w:ascii="Times New Roman" w:hAnsi="Times New Roman" w:cs="Times New Roman"/>
          <w:sz w:val="24"/>
          <w:szCs w:val="24"/>
        </w:rPr>
        <w:t xml:space="preserve"> и 98%).</w:t>
      </w: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 xml:space="preserve">По този начин е изготвена специална матрица, която показва случаите на </w:t>
      </w:r>
      <w:r w:rsidR="00797B98">
        <w:rPr>
          <w:rFonts w:ascii="Times New Roman" w:hAnsi="Times New Roman" w:cs="Times New Roman"/>
          <w:sz w:val="24"/>
          <w:szCs w:val="24"/>
        </w:rPr>
        <w:t>„</w:t>
      </w:r>
      <w:r w:rsidRPr="00950BDF">
        <w:rPr>
          <w:rFonts w:ascii="Times New Roman" w:hAnsi="Times New Roman" w:cs="Times New Roman"/>
          <w:sz w:val="24"/>
          <w:szCs w:val="24"/>
        </w:rPr>
        <w:t>засичане</w:t>
      </w:r>
      <w:r w:rsidR="00797B98">
        <w:rPr>
          <w:rFonts w:ascii="Times New Roman" w:hAnsi="Times New Roman" w:cs="Times New Roman"/>
          <w:sz w:val="24"/>
          <w:szCs w:val="24"/>
        </w:rPr>
        <w:t>”</w:t>
      </w:r>
      <w:r w:rsidRPr="00950BDF">
        <w:rPr>
          <w:rFonts w:ascii="Times New Roman" w:hAnsi="Times New Roman" w:cs="Times New Roman"/>
          <w:sz w:val="24"/>
          <w:szCs w:val="24"/>
        </w:rPr>
        <w:t xml:space="preserve"> на различни сценарии на цени на електроенергията и ниво на натоварване на производствените мощности</w:t>
      </w:r>
      <w:r w:rsidR="00797B98">
        <w:rPr>
          <w:rFonts w:ascii="Times New Roman" w:hAnsi="Times New Roman" w:cs="Times New Roman"/>
          <w:sz w:val="24"/>
          <w:szCs w:val="24"/>
        </w:rPr>
        <w:t>,</w:t>
      </w:r>
      <w:r w:rsidRPr="00950BDF">
        <w:rPr>
          <w:rFonts w:ascii="Times New Roman" w:hAnsi="Times New Roman" w:cs="Times New Roman"/>
          <w:sz w:val="24"/>
          <w:szCs w:val="24"/>
        </w:rPr>
        <w:t xml:space="preserve"> и съответно какво е тяхното отражение върху финансовите потоци общо на проекта преди финансирането и нивото на възвръщаемост на частния инвеститор и държавата.</w:t>
      </w:r>
    </w:p>
    <w:p w:rsidR="00950BDF" w:rsidRPr="00950BDF" w:rsidRDefault="00797B98" w:rsidP="00AB0E25">
      <w:pPr>
        <w:spacing w:before="120" w:after="120" w:line="240" w:lineRule="auto"/>
        <w:jc w:val="both"/>
        <w:rPr>
          <w:rFonts w:ascii="Times New Roman" w:hAnsi="Times New Roman" w:cs="Times New Roman"/>
          <w:sz w:val="24"/>
          <w:szCs w:val="24"/>
        </w:rPr>
      </w:pPr>
      <w:r w:rsidRPr="00875C9C">
        <w:rPr>
          <w:rFonts w:ascii="Times New Roman" w:hAnsi="Times New Roman" w:cs="Times New Roman"/>
          <w:sz w:val="24"/>
          <w:szCs w:val="24"/>
        </w:rPr>
        <w:t>Таблици</w:t>
      </w:r>
      <w:r w:rsidR="000A609E">
        <w:rPr>
          <w:rFonts w:ascii="Times New Roman" w:hAnsi="Times New Roman" w:cs="Times New Roman"/>
          <w:sz w:val="24"/>
          <w:szCs w:val="24"/>
        </w:rPr>
        <w:t xml:space="preserve"> </w:t>
      </w:r>
      <w:r w:rsidR="00E2036B" w:rsidRPr="00875C9C">
        <w:rPr>
          <w:rFonts w:ascii="Times New Roman" w:hAnsi="Times New Roman" w:cs="Times New Roman"/>
          <w:sz w:val="24"/>
          <w:szCs w:val="24"/>
          <w:lang w:val="en-US"/>
        </w:rPr>
        <w:t>V.</w:t>
      </w:r>
      <w:r w:rsidR="00267B90">
        <w:rPr>
          <w:rFonts w:ascii="Times New Roman" w:hAnsi="Times New Roman" w:cs="Times New Roman"/>
          <w:sz w:val="24"/>
          <w:szCs w:val="24"/>
        </w:rPr>
        <w:t>19</w:t>
      </w:r>
      <w:r w:rsidR="00E2036B" w:rsidRPr="00875C9C">
        <w:rPr>
          <w:rFonts w:ascii="Times New Roman" w:hAnsi="Times New Roman" w:cs="Times New Roman"/>
          <w:sz w:val="24"/>
          <w:szCs w:val="24"/>
        </w:rPr>
        <w:t xml:space="preserve"> и </w:t>
      </w:r>
      <w:r w:rsidR="00E2036B" w:rsidRPr="00875C9C">
        <w:rPr>
          <w:rFonts w:ascii="Times New Roman" w:hAnsi="Times New Roman" w:cs="Times New Roman"/>
          <w:sz w:val="24"/>
          <w:szCs w:val="24"/>
          <w:lang w:val="en-US"/>
        </w:rPr>
        <w:t>V.</w:t>
      </w:r>
      <w:r w:rsidR="00E2036B" w:rsidRPr="00875C9C">
        <w:rPr>
          <w:rFonts w:ascii="Times New Roman" w:hAnsi="Times New Roman" w:cs="Times New Roman"/>
          <w:sz w:val="24"/>
          <w:szCs w:val="24"/>
        </w:rPr>
        <w:t>18</w:t>
      </w:r>
      <w:r w:rsidR="00950BDF" w:rsidRPr="00875C9C">
        <w:rPr>
          <w:rFonts w:ascii="Times New Roman" w:hAnsi="Times New Roman" w:cs="Times New Roman"/>
          <w:sz w:val="24"/>
          <w:szCs w:val="24"/>
        </w:rPr>
        <w:t xml:space="preserve"> представят резултатите от анализа на чувствителността. На тази основа могат да бъдат направени окончателните изводи за финансовата жизнеспособност на проекта.</w:t>
      </w:r>
    </w:p>
    <w:p w:rsidR="00950BDF" w:rsidRPr="00950BDF" w:rsidRDefault="00950BDF" w:rsidP="00E44C19">
      <w:pPr>
        <w:spacing w:before="120" w:after="120" w:line="240" w:lineRule="auto"/>
        <w:rPr>
          <w:rFonts w:ascii="Times New Roman" w:hAnsi="Times New Roman" w:cs="Times New Roman"/>
          <w:sz w:val="24"/>
          <w:szCs w:val="24"/>
        </w:rPr>
        <w:sectPr w:rsidR="00950BDF" w:rsidRPr="00950BDF" w:rsidSect="00B02279">
          <w:footerReference w:type="default" r:id="rId24"/>
          <w:footerReference w:type="first" r:id="rId25"/>
          <w:pgSz w:w="11906" w:h="16838"/>
          <w:pgMar w:top="1417" w:right="1417" w:bottom="1417" w:left="1417" w:header="708" w:footer="708" w:gutter="0"/>
          <w:pgNumType w:start="1"/>
          <w:cols w:space="708"/>
          <w:titlePg/>
          <w:docGrid w:linePitch="360"/>
        </w:sectPr>
      </w:pPr>
    </w:p>
    <w:p w:rsidR="00950BDF" w:rsidRPr="00267B90" w:rsidRDefault="00267B90" w:rsidP="00267B90">
      <w:pPr>
        <w:pStyle w:val="Caption"/>
        <w:rPr>
          <w:rFonts w:ascii="Times New Roman" w:hAnsi="Times New Roman"/>
          <w:szCs w:val="24"/>
        </w:rPr>
      </w:pPr>
      <w:bookmarkStart w:id="173" w:name="_Toc491994424"/>
      <w:bookmarkStart w:id="174" w:name="_Toc493240915"/>
      <w:r w:rsidRPr="00DB1A1E">
        <w:rPr>
          <w:rFonts w:hint="eastAsia"/>
        </w:rPr>
        <w:lastRenderedPageBreak/>
        <w:t>Таблица</w:t>
      </w:r>
      <w:r w:rsidRPr="00DB1A1E">
        <w:t xml:space="preserve"> V.</w:t>
      </w:r>
      <w:r w:rsidR="0097530B">
        <w:fldChar w:fldCharType="begin"/>
      </w:r>
      <w:r w:rsidR="00042F89">
        <w:instrText xml:space="preserve"> SEQ Таблица_V. \* ARABIC </w:instrText>
      </w:r>
      <w:r w:rsidR="0097530B">
        <w:fldChar w:fldCharType="separate"/>
      </w:r>
      <w:r w:rsidR="00F44EBF">
        <w:rPr>
          <w:noProof/>
        </w:rPr>
        <w:t>19</w:t>
      </w:r>
      <w:r w:rsidR="0097530B">
        <w:rPr>
          <w:noProof/>
        </w:rPr>
        <w:fldChar w:fldCharType="end"/>
      </w:r>
      <w:r w:rsidRPr="00DB1A1E">
        <w:rPr>
          <w:rFonts w:asciiTheme="minorHAnsi" w:hAnsiTheme="minorHAnsi"/>
        </w:rPr>
        <w:t xml:space="preserve">. </w:t>
      </w:r>
      <w:r w:rsidR="00950BDF" w:rsidRPr="00DB1A1E">
        <w:rPr>
          <w:rFonts w:ascii="Times New Roman" w:hAnsi="Times New Roman"/>
          <w:szCs w:val="24"/>
        </w:rPr>
        <w:t xml:space="preserve">Влияние на ценовите сценарии и нивата на натоварване върху финансовите показатели </w:t>
      </w:r>
      <w:r w:rsidR="009B2B6B" w:rsidRPr="00DB1A1E">
        <w:rPr>
          <w:rFonts w:ascii="Times New Roman" w:hAnsi="Times New Roman"/>
          <w:szCs w:val="24"/>
        </w:rPr>
        <w:t>–</w:t>
      </w:r>
      <w:r w:rsidR="00950BDF" w:rsidRPr="00DB1A1E">
        <w:rPr>
          <w:rFonts w:ascii="Times New Roman" w:hAnsi="Times New Roman"/>
          <w:szCs w:val="24"/>
        </w:rPr>
        <w:t xml:space="preserve"> общо за проекта преди финансиране</w:t>
      </w:r>
      <w:bookmarkEnd w:id="173"/>
      <w:bookmarkEnd w:id="174"/>
    </w:p>
    <w:tbl>
      <w:tblPr>
        <w:tblW w:w="0" w:type="auto"/>
        <w:jc w:val="center"/>
        <w:tblCellMar>
          <w:left w:w="70" w:type="dxa"/>
          <w:right w:w="70" w:type="dxa"/>
        </w:tblCellMar>
        <w:tblLook w:val="04A0" w:firstRow="1" w:lastRow="0" w:firstColumn="1" w:lastColumn="0" w:noHBand="0" w:noVBand="1"/>
      </w:tblPr>
      <w:tblGrid>
        <w:gridCol w:w="2450"/>
        <w:gridCol w:w="1543"/>
        <w:gridCol w:w="1543"/>
        <w:gridCol w:w="1543"/>
        <w:gridCol w:w="1543"/>
        <w:gridCol w:w="1543"/>
        <w:gridCol w:w="1543"/>
      </w:tblGrid>
      <w:tr w:rsidR="00950BDF" w:rsidRPr="00267B90" w:rsidTr="009B2B6B">
        <w:trPr>
          <w:jc w:val="center"/>
        </w:trPr>
        <w:tc>
          <w:tcPr>
            <w:tcW w:w="0" w:type="auto"/>
            <w:tcBorders>
              <w:top w:val="single" w:sz="12" w:space="0" w:color="auto"/>
              <w:left w:val="single" w:sz="12" w:space="0" w:color="auto"/>
              <w:bottom w:val="single" w:sz="12" w:space="0" w:color="auto"/>
              <w:right w:val="single" w:sz="12" w:space="0" w:color="auto"/>
            </w:tcBorders>
            <w:shd w:val="clear" w:color="000000" w:fill="95B3D7"/>
            <w:noWrap/>
            <w:vAlign w:val="bottom"/>
            <w:hideMark/>
          </w:tcPr>
          <w:p w:rsidR="00950BDF" w:rsidRPr="00267B90" w:rsidRDefault="00950BDF" w:rsidP="00A73480">
            <w:pPr>
              <w:spacing w:after="0" w:line="240" w:lineRule="auto"/>
              <w:ind w:left="170" w:right="170"/>
              <w:rPr>
                <w:rFonts w:ascii="Times New Roman" w:eastAsia="Times New Roman" w:hAnsi="Times New Roman" w:cs="Times New Roman"/>
                <w:color w:val="000000"/>
                <w:sz w:val="20"/>
                <w:szCs w:val="20"/>
              </w:rPr>
            </w:pPr>
            <w:r w:rsidRPr="00267B90">
              <w:rPr>
                <w:rFonts w:ascii="Times New Roman" w:eastAsia="Times New Roman" w:hAnsi="Times New Roman" w:cs="Times New Roman"/>
                <w:color w:val="000000"/>
                <w:sz w:val="20"/>
                <w:szCs w:val="20"/>
              </w:rPr>
              <w:t> </w:t>
            </w:r>
          </w:p>
        </w:tc>
        <w:tc>
          <w:tcPr>
            <w:tcW w:w="0" w:type="auto"/>
            <w:tcBorders>
              <w:top w:val="single" w:sz="12" w:space="0" w:color="auto"/>
              <w:left w:val="single" w:sz="12" w:space="0" w:color="auto"/>
              <w:bottom w:val="single" w:sz="12" w:space="0" w:color="auto"/>
              <w:right w:val="single" w:sz="8" w:space="0" w:color="auto"/>
            </w:tcBorders>
            <w:shd w:val="clear" w:color="000000" w:fill="95B3D7"/>
            <w:noWrap/>
            <w:vAlign w:val="center"/>
            <w:hideMark/>
          </w:tcPr>
          <w:p w:rsidR="00950BDF" w:rsidRPr="00267B90" w:rsidRDefault="00950BDF" w:rsidP="00A73480">
            <w:pPr>
              <w:spacing w:after="0" w:line="240" w:lineRule="auto"/>
              <w:ind w:left="170" w:right="170"/>
              <w:jc w:val="center"/>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Вариант 1</w:t>
            </w:r>
          </w:p>
        </w:tc>
        <w:tc>
          <w:tcPr>
            <w:tcW w:w="0" w:type="auto"/>
            <w:tcBorders>
              <w:top w:val="single" w:sz="12" w:space="0" w:color="auto"/>
              <w:left w:val="nil"/>
              <w:bottom w:val="single" w:sz="12" w:space="0" w:color="auto"/>
              <w:right w:val="single" w:sz="8" w:space="0" w:color="auto"/>
            </w:tcBorders>
            <w:shd w:val="clear" w:color="000000" w:fill="95B3D7"/>
            <w:noWrap/>
            <w:vAlign w:val="center"/>
            <w:hideMark/>
          </w:tcPr>
          <w:p w:rsidR="00950BDF" w:rsidRPr="00267B90" w:rsidRDefault="00950BDF" w:rsidP="00A73480">
            <w:pPr>
              <w:spacing w:after="0" w:line="240" w:lineRule="auto"/>
              <w:ind w:left="170" w:right="170"/>
              <w:jc w:val="center"/>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Вариант 2</w:t>
            </w:r>
          </w:p>
        </w:tc>
        <w:tc>
          <w:tcPr>
            <w:tcW w:w="0" w:type="auto"/>
            <w:tcBorders>
              <w:top w:val="single" w:sz="12" w:space="0" w:color="auto"/>
              <w:left w:val="nil"/>
              <w:bottom w:val="single" w:sz="12" w:space="0" w:color="auto"/>
              <w:right w:val="single" w:sz="8" w:space="0" w:color="auto"/>
            </w:tcBorders>
            <w:shd w:val="clear" w:color="000000" w:fill="95B3D7"/>
            <w:noWrap/>
            <w:vAlign w:val="center"/>
            <w:hideMark/>
          </w:tcPr>
          <w:p w:rsidR="00950BDF" w:rsidRPr="00267B90" w:rsidRDefault="00950BDF" w:rsidP="00A73480">
            <w:pPr>
              <w:spacing w:after="0" w:line="240" w:lineRule="auto"/>
              <w:ind w:left="170" w:right="170"/>
              <w:jc w:val="center"/>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Вариант 3</w:t>
            </w:r>
          </w:p>
        </w:tc>
        <w:tc>
          <w:tcPr>
            <w:tcW w:w="0" w:type="auto"/>
            <w:tcBorders>
              <w:top w:val="single" w:sz="12" w:space="0" w:color="auto"/>
              <w:left w:val="nil"/>
              <w:bottom w:val="single" w:sz="12" w:space="0" w:color="auto"/>
              <w:right w:val="single" w:sz="8" w:space="0" w:color="auto"/>
            </w:tcBorders>
            <w:shd w:val="clear" w:color="000000" w:fill="95B3D7"/>
            <w:noWrap/>
            <w:vAlign w:val="center"/>
            <w:hideMark/>
          </w:tcPr>
          <w:p w:rsidR="00950BDF" w:rsidRPr="00267B90" w:rsidRDefault="00950BDF" w:rsidP="00A73480">
            <w:pPr>
              <w:spacing w:after="0" w:line="240" w:lineRule="auto"/>
              <w:ind w:left="170" w:right="170"/>
              <w:jc w:val="center"/>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Вариант 4</w:t>
            </w:r>
          </w:p>
        </w:tc>
        <w:tc>
          <w:tcPr>
            <w:tcW w:w="0" w:type="auto"/>
            <w:tcBorders>
              <w:top w:val="single" w:sz="12" w:space="0" w:color="auto"/>
              <w:left w:val="nil"/>
              <w:bottom w:val="single" w:sz="12" w:space="0" w:color="auto"/>
              <w:right w:val="single" w:sz="8" w:space="0" w:color="auto"/>
            </w:tcBorders>
            <w:shd w:val="clear" w:color="000000" w:fill="95B3D7"/>
            <w:noWrap/>
            <w:vAlign w:val="center"/>
            <w:hideMark/>
          </w:tcPr>
          <w:p w:rsidR="00950BDF" w:rsidRPr="00267B90" w:rsidRDefault="00950BDF" w:rsidP="00A73480">
            <w:pPr>
              <w:spacing w:after="0" w:line="240" w:lineRule="auto"/>
              <w:ind w:left="170" w:right="170"/>
              <w:jc w:val="center"/>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Вариант 5</w:t>
            </w:r>
          </w:p>
        </w:tc>
        <w:tc>
          <w:tcPr>
            <w:tcW w:w="0" w:type="auto"/>
            <w:tcBorders>
              <w:top w:val="single" w:sz="12" w:space="0" w:color="auto"/>
              <w:left w:val="nil"/>
              <w:bottom w:val="single" w:sz="12" w:space="0" w:color="auto"/>
              <w:right w:val="single" w:sz="12" w:space="0" w:color="auto"/>
            </w:tcBorders>
            <w:shd w:val="clear" w:color="000000" w:fill="95B3D7"/>
            <w:noWrap/>
            <w:vAlign w:val="center"/>
            <w:hideMark/>
          </w:tcPr>
          <w:p w:rsidR="00950BDF" w:rsidRPr="00267B90" w:rsidRDefault="00950BDF" w:rsidP="00A73480">
            <w:pPr>
              <w:spacing w:after="0" w:line="240" w:lineRule="auto"/>
              <w:ind w:left="170" w:right="170"/>
              <w:jc w:val="center"/>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Вариант 6</w:t>
            </w:r>
          </w:p>
        </w:tc>
      </w:tr>
      <w:tr w:rsidR="00950BDF" w:rsidRPr="00267B90" w:rsidTr="00A73480">
        <w:trPr>
          <w:jc w:val="center"/>
        </w:trPr>
        <w:tc>
          <w:tcPr>
            <w:tcW w:w="0" w:type="auto"/>
            <w:tcBorders>
              <w:top w:val="single" w:sz="12" w:space="0" w:color="auto"/>
              <w:left w:val="single" w:sz="12" w:space="0" w:color="auto"/>
              <w:bottom w:val="single" w:sz="12" w:space="0" w:color="auto"/>
              <w:right w:val="single" w:sz="12" w:space="0" w:color="auto"/>
            </w:tcBorders>
            <w:shd w:val="clear" w:color="000000" w:fill="EAF1DD"/>
            <w:noWrap/>
            <w:vAlign w:val="center"/>
            <w:hideMark/>
          </w:tcPr>
          <w:p w:rsidR="00950BDF" w:rsidRPr="00267B90" w:rsidRDefault="00950BDF" w:rsidP="00A73480">
            <w:pPr>
              <w:spacing w:after="0" w:line="240" w:lineRule="auto"/>
              <w:ind w:left="170" w:right="170"/>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Дисконтова норма</w:t>
            </w:r>
          </w:p>
        </w:tc>
        <w:tc>
          <w:tcPr>
            <w:tcW w:w="0" w:type="auto"/>
            <w:tcBorders>
              <w:top w:val="single" w:sz="12" w:space="0" w:color="auto"/>
              <w:left w:val="single" w:sz="12" w:space="0" w:color="auto"/>
              <w:bottom w:val="single" w:sz="12" w:space="0" w:color="auto"/>
              <w:right w:val="single" w:sz="8" w:space="0" w:color="auto"/>
            </w:tcBorders>
            <w:shd w:val="clear" w:color="000000" w:fill="EAF1DD"/>
            <w:noWrap/>
            <w:vAlign w:val="center"/>
            <w:hideMark/>
          </w:tcPr>
          <w:p w:rsidR="00950BDF" w:rsidRPr="00267B90" w:rsidRDefault="009B2B6B" w:rsidP="00E6666C">
            <w:pPr>
              <w:spacing w:after="0" w:line="240" w:lineRule="auto"/>
              <w:ind w:left="170" w:right="170"/>
              <w:jc w:val="right"/>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7</w:t>
            </w:r>
            <w:r w:rsidR="00E6666C">
              <w:rPr>
                <w:rFonts w:ascii="Times New Roman" w:eastAsia="Times New Roman" w:hAnsi="Times New Roman" w:cs="Times New Roman"/>
                <w:b/>
                <w:bCs/>
                <w:color w:val="000000"/>
                <w:sz w:val="20"/>
                <w:szCs w:val="20"/>
                <w:lang w:val="en-US"/>
              </w:rPr>
              <w:t>,</w:t>
            </w:r>
            <w:r w:rsidRPr="00267B90">
              <w:rPr>
                <w:rFonts w:ascii="Times New Roman" w:eastAsia="Times New Roman" w:hAnsi="Times New Roman" w:cs="Times New Roman"/>
                <w:b/>
                <w:bCs/>
                <w:color w:val="000000"/>
                <w:sz w:val="20"/>
                <w:szCs w:val="20"/>
              </w:rPr>
              <w:t>14</w:t>
            </w:r>
            <w:r w:rsidR="00267B90">
              <w:rPr>
                <w:rFonts w:ascii="Times New Roman" w:eastAsia="Times New Roman" w:hAnsi="Times New Roman" w:cs="Times New Roman"/>
                <w:b/>
                <w:bCs/>
                <w:color w:val="000000"/>
                <w:sz w:val="20"/>
                <w:szCs w:val="20"/>
              </w:rPr>
              <w:t>%</w:t>
            </w:r>
          </w:p>
        </w:tc>
        <w:tc>
          <w:tcPr>
            <w:tcW w:w="0" w:type="auto"/>
            <w:tcBorders>
              <w:top w:val="single" w:sz="12" w:space="0" w:color="auto"/>
              <w:left w:val="nil"/>
              <w:bottom w:val="single" w:sz="12" w:space="0" w:color="auto"/>
              <w:right w:val="single" w:sz="8" w:space="0" w:color="auto"/>
            </w:tcBorders>
            <w:shd w:val="clear" w:color="000000" w:fill="EAF1DD"/>
            <w:noWrap/>
            <w:vAlign w:val="center"/>
            <w:hideMark/>
          </w:tcPr>
          <w:p w:rsidR="00950BDF" w:rsidRPr="00267B90" w:rsidRDefault="00950BDF" w:rsidP="00A73480">
            <w:pPr>
              <w:spacing w:after="0" w:line="240" w:lineRule="auto"/>
              <w:ind w:left="170" w:right="170"/>
              <w:jc w:val="right"/>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6</w:t>
            </w:r>
            <w:r w:rsidR="00E6666C">
              <w:rPr>
                <w:rFonts w:ascii="Times New Roman" w:eastAsia="Times New Roman" w:hAnsi="Times New Roman" w:cs="Times New Roman"/>
                <w:b/>
                <w:bCs/>
                <w:color w:val="000000"/>
                <w:sz w:val="20"/>
                <w:szCs w:val="20"/>
                <w:lang w:val="en-US"/>
              </w:rPr>
              <w:t>,</w:t>
            </w:r>
            <w:r w:rsidRPr="00267B90">
              <w:rPr>
                <w:rFonts w:ascii="Times New Roman" w:eastAsia="Times New Roman" w:hAnsi="Times New Roman" w:cs="Times New Roman"/>
                <w:b/>
                <w:bCs/>
                <w:color w:val="000000"/>
                <w:sz w:val="20"/>
                <w:szCs w:val="20"/>
              </w:rPr>
              <w:t>85</w:t>
            </w:r>
            <w:r w:rsidR="00267B90">
              <w:rPr>
                <w:rFonts w:ascii="Times New Roman" w:eastAsia="Times New Roman" w:hAnsi="Times New Roman" w:cs="Times New Roman"/>
                <w:b/>
                <w:bCs/>
                <w:color w:val="000000"/>
                <w:sz w:val="20"/>
                <w:szCs w:val="20"/>
              </w:rPr>
              <w:t>%</w:t>
            </w:r>
          </w:p>
        </w:tc>
        <w:tc>
          <w:tcPr>
            <w:tcW w:w="0" w:type="auto"/>
            <w:tcBorders>
              <w:top w:val="single" w:sz="12" w:space="0" w:color="auto"/>
              <w:left w:val="nil"/>
              <w:bottom w:val="single" w:sz="12" w:space="0" w:color="auto"/>
              <w:right w:val="single" w:sz="8" w:space="0" w:color="auto"/>
            </w:tcBorders>
            <w:shd w:val="clear" w:color="000000" w:fill="EAF1DD"/>
            <w:noWrap/>
            <w:vAlign w:val="center"/>
            <w:hideMark/>
          </w:tcPr>
          <w:p w:rsidR="00950BDF" w:rsidRPr="00267B90" w:rsidRDefault="00950BDF" w:rsidP="00A73480">
            <w:pPr>
              <w:spacing w:after="0" w:line="240" w:lineRule="auto"/>
              <w:ind w:left="170" w:right="170"/>
              <w:jc w:val="right"/>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6</w:t>
            </w:r>
            <w:r w:rsidR="00E6666C">
              <w:rPr>
                <w:rFonts w:ascii="Times New Roman" w:eastAsia="Times New Roman" w:hAnsi="Times New Roman" w:cs="Times New Roman"/>
                <w:b/>
                <w:bCs/>
                <w:color w:val="000000"/>
                <w:sz w:val="20"/>
                <w:szCs w:val="20"/>
                <w:lang w:val="en-US"/>
              </w:rPr>
              <w:t>,</w:t>
            </w:r>
            <w:r w:rsidRPr="00267B90">
              <w:rPr>
                <w:rFonts w:ascii="Times New Roman" w:eastAsia="Times New Roman" w:hAnsi="Times New Roman" w:cs="Times New Roman"/>
                <w:b/>
                <w:bCs/>
                <w:color w:val="000000"/>
                <w:sz w:val="20"/>
                <w:szCs w:val="20"/>
              </w:rPr>
              <w:t>56</w:t>
            </w:r>
            <w:r w:rsidR="00267B90">
              <w:rPr>
                <w:rFonts w:ascii="Times New Roman" w:eastAsia="Times New Roman" w:hAnsi="Times New Roman" w:cs="Times New Roman"/>
                <w:b/>
                <w:bCs/>
                <w:color w:val="000000"/>
                <w:sz w:val="20"/>
                <w:szCs w:val="20"/>
              </w:rPr>
              <w:t>%</w:t>
            </w:r>
          </w:p>
        </w:tc>
        <w:tc>
          <w:tcPr>
            <w:tcW w:w="0" w:type="auto"/>
            <w:tcBorders>
              <w:top w:val="single" w:sz="12" w:space="0" w:color="auto"/>
              <w:left w:val="nil"/>
              <w:bottom w:val="single" w:sz="12" w:space="0" w:color="auto"/>
              <w:right w:val="single" w:sz="8" w:space="0" w:color="auto"/>
            </w:tcBorders>
            <w:shd w:val="clear" w:color="000000" w:fill="EAF1DD"/>
            <w:noWrap/>
            <w:vAlign w:val="center"/>
            <w:hideMark/>
          </w:tcPr>
          <w:p w:rsidR="00950BDF" w:rsidRPr="00267B90" w:rsidRDefault="00950BDF" w:rsidP="00E6666C">
            <w:pPr>
              <w:spacing w:after="0" w:line="240" w:lineRule="auto"/>
              <w:ind w:left="170" w:right="170"/>
              <w:jc w:val="right"/>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7</w:t>
            </w:r>
            <w:r w:rsidR="00E6666C">
              <w:rPr>
                <w:rFonts w:ascii="Times New Roman" w:eastAsia="Times New Roman" w:hAnsi="Times New Roman" w:cs="Times New Roman"/>
                <w:b/>
                <w:bCs/>
                <w:color w:val="000000"/>
                <w:sz w:val="20"/>
                <w:szCs w:val="20"/>
                <w:lang w:val="en-US"/>
              </w:rPr>
              <w:t>,</w:t>
            </w:r>
            <w:r w:rsidRPr="00267B90">
              <w:rPr>
                <w:rFonts w:ascii="Times New Roman" w:eastAsia="Times New Roman" w:hAnsi="Times New Roman" w:cs="Times New Roman"/>
                <w:b/>
                <w:bCs/>
                <w:color w:val="000000"/>
                <w:sz w:val="20"/>
                <w:szCs w:val="20"/>
              </w:rPr>
              <w:t>14</w:t>
            </w:r>
            <w:r w:rsidR="00267B90">
              <w:rPr>
                <w:rFonts w:ascii="Times New Roman" w:eastAsia="Times New Roman" w:hAnsi="Times New Roman" w:cs="Times New Roman"/>
                <w:b/>
                <w:bCs/>
                <w:color w:val="000000"/>
                <w:sz w:val="20"/>
                <w:szCs w:val="20"/>
              </w:rPr>
              <w:t>%</w:t>
            </w:r>
          </w:p>
        </w:tc>
        <w:tc>
          <w:tcPr>
            <w:tcW w:w="0" w:type="auto"/>
            <w:tcBorders>
              <w:top w:val="single" w:sz="12" w:space="0" w:color="auto"/>
              <w:left w:val="nil"/>
              <w:bottom w:val="single" w:sz="12" w:space="0" w:color="auto"/>
              <w:right w:val="single" w:sz="8" w:space="0" w:color="auto"/>
            </w:tcBorders>
            <w:shd w:val="clear" w:color="000000" w:fill="EAF1DD"/>
            <w:noWrap/>
            <w:vAlign w:val="center"/>
            <w:hideMark/>
          </w:tcPr>
          <w:p w:rsidR="00950BDF" w:rsidRPr="00267B90" w:rsidRDefault="00950BDF" w:rsidP="00A73480">
            <w:pPr>
              <w:spacing w:after="0" w:line="240" w:lineRule="auto"/>
              <w:ind w:left="170" w:right="170"/>
              <w:jc w:val="right"/>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6</w:t>
            </w:r>
            <w:r w:rsidR="00E6666C">
              <w:rPr>
                <w:rFonts w:ascii="Times New Roman" w:eastAsia="Times New Roman" w:hAnsi="Times New Roman" w:cs="Times New Roman"/>
                <w:b/>
                <w:bCs/>
                <w:color w:val="000000"/>
                <w:sz w:val="20"/>
                <w:szCs w:val="20"/>
                <w:lang w:val="en-US"/>
              </w:rPr>
              <w:t>,</w:t>
            </w:r>
            <w:r w:rsidRPr="00267B90">
              <w:rPr>
                <w:rFonts w:ascii="Times New Roman" w:eastAsia="Times New Roman" w:hAnsi="Times New Roman" w:cs="Times New Roman"/>
                <w:b/>
                <w:bCs/>
                <w:color w:val="000000"/>
                <w:sz w:val="20"/>
                <w:szCs w:val="20"/>
              </w:rPr>
              <w:t>85</w:t>
            </w:r>
            <w:r w:rsidR="00267B90">
              <w:rPr>
                <w:rFonts w:ascii="Times New Roman" w:eastAsia="Times New Roman" w:hAnsi="Times New Roman" w:cs="Times New Roman"/>
                <w:b/>
                <w:bCs/>
                <w:color w:val="000000"/>
                <w:sz w:val="20"/>
                <w:szCs w:val="20"/>
              </w:rPr>
              <w:t>%</w:t>
            </w:r>
          </w:p>
        </w:tc>
        <w:tc>
          <w:tcPr>
            <w:tcW w:w="0" w:type="auto"/>
            <w:tcBorders>
              <w:top w:val="single" w:sz="12" w:space="0" w:color="auto"/>
              <w:left w:val="nil"/>
              <w:bottom w:val="single" w:sz="12" w:space="0" w:color="auto"/>
              <w:right w:val="single" w:sz="12" w:space="0" w:color="auto"/>
            </w:tcBorders>
            <w:shd w:val="clear" w:color="000000" w:fill="EAF1DD"/>
            <w:noWrap/>
            <w:vAlign w:val="center"/>
            <w:hideMark/>
          </w:tcPr>
          <w:p w:rsidR="00950BDF" w:rsidRPr="00267B90" w:rsidRDefault="00950BDF" w:rsidP="00A73480">
            <w:pPr>
              <w:spacing w:after="0" w:line="240" w:lineRule="auto"/>
              <w:ind w:left="170" w:right="170"/>
              <w:jc w:val="right"/>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6</w:t>
            </w:r>
            <w:r w:rsidR="00E6666C">
              <w:rPr>
                <w:rFonts w:ascii="Times New Roman" w:eastAsia="Times New Roman" w:hAnsi="Times New Roman" w:cs="Times New Roman"/>
                <w:b/>
                <w:bCs/>
                <w:color w:val="000000"/>
                <w:sz w:val="20"/>
                <w:szCs w:val="20"/>
                <w:lang w:val="en-US"/>
              </w:rPr>
              <w:t>,</w:t>
            </w:r>
            <w:r w:rsidRPr="00267B90">
              <w:rPr>
                <w:rFonts w:ascii="Times New Roman" w:eastAsia="Times New Roman" w:hAnsi="Times New Roman" w:cs="Times New Roman"/>
                <w:b/>
                <w:bCs/>
                <w:color w:val="000000"/>
                <w:sz w:val="20"/>
                <w:szCs w:val="20"/>
              </w:rPr>
              <w:t>56</w:t>
            </w:r>
            <w:r w:rsidR="00267B90">
              <w:rPr>
                <w:rFonts w:ascii="Times New Roman" w:eastAsia="Times New Roman" w:hAnsi="Times New Roman" w:cs="Times New Roman"/>
                <w:b/>
                <w:bCs/>
                <w:color w:val="000000"/>
                <w:sz w:val="20"/>
                <w:szCs w:val="20"/>
              </w:rPr>
              <w:t>%</w:t>
            </w:r>
          </w:p>
        </w:tc>
      </w:tr>
      <w:tr w:rsidR="00950BDF" w:rsidRPr="00267B90" w:rsidTr="00A73480">
        <w:trPr>
          <w:jc w:val="center"/>
        </w:trPr>
        <w:tc>
          <w:tcPr>
            <w:tcW w:w="0" w:type="auto"/>
            <w:gridSpan w:val="7"/>
            <w:tcBorders>
              <w:top w:val="single" w:sz="12" w:space="0" w:color="auto"/>
              <w:left w:val="single" w:sz="12" w:space="0" w:color="auto"/>
              <w:bottom w:val="single" w:sz="8" w:space="0" w:color="auto"/>
              <w:right w:val="single" w:sz="12" w:space="0" w:color="auto"/>
            </w:tcBorders>
            <w:shd w:val="clear" w:color="000000" w:fill="DBE5F1"/>
            <w:noWrap/>
            <w:vAlign w:val="center"/>
            <w:hideMark/>
          </w:tcPr>
          <w:p w:rsidR="00950BDF" w:rsidRPr="00267B90" w:rsidRDefault="00950BDF" w:rsidP="00A73480">
            <w:pPr>
              <w:spacing w:after="0" w:line="240" w:lineRule="auto"/>
              <w:ind w:left="170" w:right="170"/>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 xml:space="preserve">Цена на вътрешен пазар </w:t>
            </w:r>
            <w:r w:rsidR="009B2B6B" w:rsidRPr="00267B90">
              <w:rPr>
                <w:rFonts w:ascii="Times New Roman" w:eastAsia="Times New Roman" w:hAnsi="Times New Roman" w:cs="Times New Roman"/>
                <w:b/>
                <w:bCs/>
                <w:color w:val="000000"/>
                <w:sz w:val="20"/>
                <w:szCs w:val="20"/>
              </w:rPr>
              <w:t>–</w:t>
            </w:r>
            <w:r w:rsidRPr="00267B90">
              <w:rPr>
                <w:rFonts w:ascii="Times New Roman" w:eastAsia="Times New Roman" w:hAnsi="Times New Roman" w:cs="Times New Roman"/>
                <w:b/>
                <w:bCs/>
                <w:color w:val="000000"/>
                <w:sz w:val="20"/>
                <w:szCs w:val="20"/>
              </w:rPr>
              <w:t xml:space="preserve"> максимален сценарий/Ниво на натоварване на мощностите </w:t>
            </w:r>
            <w:r w:rsidR="009B2B6B" w:rsidRPr="00267B90">
              <w:rPr>
                <w:rFonts w:ascii="Times New Roman" w:eastAsia="Times New Roman" w:hAnsi="Times New Roman" w:cs="Times New Roman"/>
                <w:b/>
                <w:bCs/>
                <w:color w:val="000000"/>
                <w:sz w:val="20"/>
                <w:szCs w:val="20"/>
              </w:rPr>
              <w:t>–</w:t>
            </w:r>
            <w:r w:rsidRPr="00267B90">
              <w:rPr>
                <w:rFonts w:ascii="Times New Roman" w:eastAsia="Times New Roman" w:hAnsi="Times New Roman" w:cs="Times New Roman"/>
                <w:b/>
                <w:bCs/>
                <w:color w:val="000000"/>
                <w:sz w:val="20"/>
                <w:szCs w:val="20"/>
              </w:rPr>
              <w:t xml:space="preserve"> 100%</w:t>
            </w:r>
          </w:p>
        </w:tc>
      </w:tr>
      <w:tr w:rsidR="00950BDF" w:rsidRPr="00267B90" w:rsidTr="009B2B6B">
        <w:trPr>
          <w:jc w:val="center"/>
        </w:trPr>
        <w:tc>
          <w:tcPr>
            <w:tcW w:w="0" w:type="auto"/>
            <w:tcBorders>
              <w:top w:val="nil"/>
              <w:left w:val="single" w:sz="12" w:space="0" w:color="auto"/>
              <w:bottom w:val="single" w:sz="8" w:space="0" w:color="auto"/>
              <w:right w:val="single" w:sz="12" w:space="0" w:color="auto"/>
            </w:tcBorders>
            <w:shd w:val="clear" w:color="000000" w:fill="FFFFFF"/>
            <w:noWrap/>
            <w:vAlign w:val="center"/>
            <w:hideMark/>
          </w:tcPr>
          <w:p w:rsidR="00950BDF" w:rsidRPr="00267B90" w:rsidRDefault="00950BDF" w:rsidP="00A73480">
            <w:pPr>
              <w:spacing w:after="0" w:line="240" w:lineRule="auto"/>
              <w:ind w:left="170" w:right="170"/>
              <w:rPr>
                <w:rFonts w:ascii="Times New Roman" w:eastAsia="Times New Roman" w:hAnsi="Times New Roman" w:cs="Times New Roman"/>
                <w:color w:val="000000"/>
                <w:sz w:val="20"/>
                <w:szCs w:val="20"/>
              </w:rPr>
            </w:pPr>
            <w:r w:rsidRPr="00267B90">
              <w:rPr>
                <w:rFonts w:ascii="Times New Roman" w:eastAsia="Times New Roman" w:hAnsi="Times New Roman" w:cs="Times New Roman"/>
                <w:color w:val="000000"/>
                <w:sz w:val="20"/>
                <w:szCs w:val="20"/>
              </w:rPr>
              <w:t>NPV</w:t>
            </w:r>
            <w:r w:rsidR="009B2B6B" w:rsidRPr="00267B90">
              <w:rPr>
                <w:rFonts w:ascii="Times New Roman" w:eastAsia="Times New Roman" w:hAnsi="Times New Roman" w:cs="Times New Roman"/>
                <w:color w:val="000000"/>
                <w:sz w:val="20"/>
                <w:szCs w:val="20"/>
              </w:rPr>
              <w:t xml:space="preserve"> – </w:t>
            </w:r>
            <w:r w:rsidRPr="00267B90">
              <w:rPr>
                <w:rFonts w:ascii="Times New Roman" w:eastAsia="Times New Roman" w:hAnsi="Times New Roman" w:cs="Times New Roman"/>
                <w:color w:val="000000"/>
                <w:sz w:val="20"/>
                <w:szCs w:val="20"/>
              </w:rPr>
              <w:t>общо проект</w:t>
            </w:r>
          </w:p>
        </w:tc>
        <w:tc>
          <w:tcPr>
            <w:tcW w:w="0" w:type="auto"/>
            <w:tcBorders>
              <w:top w:val="nil"/>
              <w:left w:val="single" w:sz="12" w:space="0" w:color="auto"/>
              <w:bottom w:val="single" w:sz="8" w:space="0" w:color="auto"/>
              <w:right w:val="single" w:sz="8" w:space="0" w:color="auto"/>
            </w:tcBorders>
            <w:shd w:val="clear" w:color="auto" w:fill="auto"/>
            <w:noWrap/>
            <w:vAlign w:val="center"/>
            <w:hideMark/>
          </w:tcPr>
          <w:p w:rsidR="00950BDF" w:rsidRPr="00267B90" w:rsidRDefault="00950BDF"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8" w:space="0" w:color="auto"/>
            </w:tcBorders>
            <w:shd w:val="clear" w:color="auto" w:fill="auto"/>
            <w:noWrap/>
            <w:vAlign w:val="center"/>
            <w:hideMark/>
          </w:tcPr>
          <w:p w:rsidR="00950BDF" w:rsidRPr="00267B90" w:rsidRDefault="00950BDF"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8" w:space="0" w:color="auto"/>
            </w:tcBorders>
            <w:shd w:val="clear" w:color="auto" w:fill="auto"/>
            <w:noWrap/>
            <w:vAlign w:val="center"/>
            <w:hideMark/>
          </w:tcPr>
          <w:p w:rsidR="00950BDF" w:rsidRPr="00267B90" w:rsidRDefault="00950BDF"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8" w:space="0" w:color="auto"/>
            </w:tcBorders>
            <w:shd w:val="clear" w:color="auto" w:fill="auto"/>
            <w:noWrap/>
            <w:vAlign w:val="center"/>
            <w:hideMark/>
          </w:tcPr>
          <w:p w:rsidR="00950BDF" w:rsidRPr="00267B90" w:rsidRDefault="00950BDF"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8" w:space="0" w:color="auto"/>
            </w:tcBorders>
            <w:shd w:val="clear" w:color="auto" w:fill="auto"/>
            <w:noWrap/>
            <w:vAlign w:val="center"/>
            <w:hideMark/>
          </w:tcPr>
          <w:p w:rsidR="00950BDF" w:rsidRPr="00267B90" w:rsidRDefault="00950BDF"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12" w:space="0" w:color="auto"/>
            </w:tcBorders>
            <w:shd w:val="clear" w:color="auto" w:fill="auto"/>
            <w:noWrap/>
            <w:vAlign w:val="center"/>
            <w:hideMark/>
          </w:tcPr>
          <w:p w:rsidR="00950BDF" w:rsidRPr="00267B90" w:rsidRDefault="00950BDF"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r>
      <w:tr w:rsidR="00267B90" w:rsidRPr="00267B90" w:rsidTr="00875C9C">
        <w:trPr>
          <w:jc w:val="center"/>
        </w:trPr>
        <w:tc>
          <w:tcPr>
            <w:tcW w:w="0" w:type="auto"/>
            <w:tcBorders>
              <w:top w:val="nil"/>
              <w:left w:val="single" w:sz="12" w:space="0" w:color="auto"/>
              <w:bottom w:val="single" w:sz="12" w:space="0" w:color="auto"/>
              <w:right w:val="single" w:sz="12" w:space="0" w:color="auto"/>
            </w:tcBorders>
            <w:shd w:val="clear" w:color="000000" w:fill="FFFFFF"/>
            <w:noWrap/>
            <w:vAlign w:val="center"/>
            <w:hideMark/>
          </w:tcPr>
          <w:p w:rsidR="00267B90" w:rsidRPr="00267B90" w:rsidRDefault="00267B90" w:rsidP="00A73480">
            <w:pPr>
              <w:spacing w:after="0" w:line="240" w:lineRule="auto"/>
              <w:ind w:left="170" w:right="170"/>
              <w:rPr>
                <w:rFonts w:ascii="Times New Roman" w:eastAsia="Times New Roman" w:hAnsi="Times New Roman" w:cs="Times New Roman"/>
                <w:color w:val="000000"/>
                <w:sz w:val="20"/>
                <w:szCs w:val="20"/>
              </w:rPr>
            </w:pPr>
            <w:r w:rsidRPr="00267B90">
              <w:rPr>
                <w:rFonts w:ascii="Times New Roman" w:eastAsia="Times New Roman" w:hAnsi="Times New Roman" w:cs="Times New Roman"/>
                <w:color w:val="000000"/>
                <w:sz w:val="20"/>
                <w:szCs w:val="20"/>
              </w:rPr>
              <w:t>IRR – общо проект (%)</w:t>
            </w:r>
          </w:p>
        </w:tc>
        <w:tc>
          <w:tcPr>
            <w:tcW w:w="0" w:type="auto"/>
            <w:tcBorders>
              <w:top w:val="nil"/>
              <w:left w:val="single" w:sz="12" w:space="0" w:color="auto"/>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5,25%</w:t>
            </w:r>
          </w:p>
        </w:tc>
        <w:tc>
          <w:tcPr>
            <w:tcW w:w="0" w:type="auto"/>
            <w:tcBorders>
              <w:top w:val="nil"/>
              <w:left w:val="nil"/>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5,17%</w:t>
            </w:r>
          </w:p>
        </w:tc>
        <w:tc>
          <w:tcPr>
            <w:tcW w:w="0" w:type="auto"/>
            <w:tcBorders>
              <w:top w:val="nil"/>
              <w:left w:val="nil"/>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5,09%</w:t>
            </w:r>
          </w:p>
        </w:tc>
        <w:tc>
          <w:tcPr>
            <w:tcW w:w="0" w:type="auto"/>
            <w:tcBorders>
              <w:top w:val="nil"/>
              <w:left w:val="nil"/>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5,25%</w:t>
            </w:r>
          </w:p>
        </w:tc>
        <w:tc>
          <w:tcPr>
            <w:tcW w:w="0" w:type="auto"/>
            <w:tcBorders>
              <w:top w:val="nil"/>
              <w:left w:val="nil"/>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5,17%</w:t>
            </w:r>
          </w:p>
        </w:tc>
        <w:tc>
          <w:tcPr>
            <w:tcW w:w="0" w:type="auto"/>
            <w:tcBorders>
              <w:top w:val="nil"/>
              <w:left w:val="nil"/>
              <w:bottom w:val="single" w:sz="12" w:space="0" w:color="auto"/>
              <w:right w:val="single" w:sz="12"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5,09%</w:t>
            </w:r>
          </w:p>
        </w:tc>
      </w:tr>
      <w:tr w:rsidR="00950BDF" w:rsidRPr="00267B90" w:rsidTr="00A73480">
        <w:trPr>
          <w:jc w:val="center"/>
        </w:trPr>
        <w:tc>
          <w:tcPr>
            <w:tcW w:w="0" w:type="auto"/>
            <w:gridSpan w:val="7"/>
            <w:tcBorders>
              <w:top w:val="single" w:sz="12" w:space="0" w:color="auto"/>
              <w:left w:val="single" w:sz="12" w:space="0" w:color="auto"/>
              <w:bottom w:val="single" w:sz="8" w:space="0" w:color="auto"/>
              <w:right w:val="single" w:sz="12" w:space="0" w:color="auto"/>
            </w:tcBorders>
            <w:shd w:val="clear" w:color="000000" w:fill="DBE5F1"/>
            <w:noWrap/>
            <w:vAlign w:val="center"/>
            <w:hideMark/>
          </w:tcPr>
          <w:p w:rsidR="00950BDF" w:rsidRPr="00267B90" w:rsidRDefault="00950BDF" w:rsidP="00A73480">
            <w:pPr>
              <w:spacing w:after="0" w:line="240" w:lineRule="auto"/>
              <w:ind w:left="170" w:right="170"/>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 xml:space="preserve">Цена на вътрешен пазар </w:t>
            </w:r>
            <w:r w:rsidR="009B2B6B" w:rsidRPr="00267B90">
              <w:rPr>
                <w:rFonts w:ascii="Times New Roman" w:eastAsia="Times New Roman" w:hAnsi="Times New Roman" w:cs="Times New Roman"/>
                <w:b/>
                <w:bCs/>
                <w:color w:val="000000"/>
                <w:sz w:val="20"/>
                <w:szCs w:val="20"/>
              </w:rPr>
              <w:t>–</w:t>
            </w:r>
            <w:r w:rsidRPr="00267B90">
              <w:rPr>
                <w:rFonts w:ascii="Times New Roman" w:eastAsia="Times New Roman" w:hAnsi="Times New Roman" w:cs="Times New Roman"/>
                <w:b/>
                <w:bCs/>
                <w:color w:val="000000"/>
                <w:sz w:val="20"/>
                <w:szCs w:val="20"/>
              </w:rPr>
              <w:t xml:space="preserve"> минимален сценарий/Ниво на натоварване на мощностите </w:t>
            </w:r>
            <w:r w:rsidR="009B2B6B" w:rsidRPr="00267B90">
              <w:rPr>
                <w:rFonts w:ascii="Times New Roman" w:eastAsia="Times New Roman" w:hAnsi="Times New Roman" w:cs="Times New Roman"/>
                <w:b/>
                <w:bCs/>
                <w:color w:val="000000"/>
                <w:sz w:val="20"/>
                <w:szCs w:val="20"/>
              </w:rPr>
              <w:t>–</w:t>
            </w:r>
            <w:r w:rsidRPr="00267B90">
              <w:rPr>
                <w:rFonts w:ascii="Times New Roman" w:eastAsia="Times New Roman" w:hAnsi="Times New Roman" w:cs="Times New Roman"/>
                <w:b/>
                <w:bCs/>
                <w:color w:val="000000"/>
                <w:sz w:val="20"/>
                <w:szCs w:val="20"/>
              </w:rPr>
              <w:t xml:space="preserve"> 100%</w:t>
            </w:r>
          </w:p>
        </w:tc>
      </w:tr>
      <w:tr w:rsidR="009B2B6B" w:rsidRPr="00267B90" w:rsidTr="009B2B6B">
        <w:trPr>
          <w:jc w:val="center"/>
        </w:trPr>
        <w:tc>
          <w:tcPr>
            <w:tcW w:w="0" w:type="auto"/>
            <w:tcBorders>
              <w:top w:val="nil"/>
              <w:left w:val="single" w:sz="12" w:space="0" w:color="auto"/>
              <w:bottom w:val="single" w:sz="8" w:space="0" w:color="auto"/>
              <w:right w:val="single" w:sz="12" w:space="0" w:color="auto"/>
            </w:tcBorders>
            <w:shd w:val="clear" w:color="000000" w:fill="FFFFFF"/>
            <w:noWrap/>
            <w:vAlign w:val="center"/>
            <w:hideMark/>
          </w:tcPr>
          <w:p w:rsidR="009B2B6B" w:rsidRPr="00267B90" w:rsidRDefault="009B2B6B" w:rsidP="00A73480">
            <w:pPr>
              <w:spacing w:after="0" w:line="240" w:lineRule="auto"/>
              <w:ind w:left="170" w:right="170"/>
              <w:rPr>
                <w:rFonts w:ascii="Times New Roman" w:eastAsia="Times New Roman" w:hAnsi="Times New Roman" w:cs="Times New Roman"/>
                <w:color w:val="000000"/>
                <w:sz w:val="20"/>
                <w:szCs w:val="20"/>
              </w:rPr>
            </w:pPr>
            <w:r w:rsidRPr="00267B90">
              <w:rPr>
                <w:rFonts w:ascii="Times New Roman" w:eastAsia="Times New Roman" w:hAnsi="Times New Roman" w:cs="Times New Roman"/>
                <w:color w:val="000000"/>
                <w:sz w:val="20"/>
                <w:szCs w:val="20"/>
              </w:rPr>
              <w:t>NPV – общо проект</w:t>
            </w:r>
          </w:p>
        </w:tc>
        <w:tc>
          <w:tcPr>
            <w:tcW w:w="0" w:type="auto"/>
            <w:tcBorders>
              <w:top w:val="nil"/>
              <w:left w:val="single" w:sz="12" w:space="0" w:color="auto"/>
              <w:bottom w:val="single" w:sz="8" w:space="0" w:color="auto"/>
              <w:right w:val="single" w:sz="8" w:space="0" w:color="auto"/>
            </w:tcBorders>
            <w:shd w:val="clear" w:color="auto" w:fill="auto"/>
            <w:noWrap/>
            <w:vAlign w:val="center"/>
            <w:hideMark/>
          </w:tcPr>
          <w:p w:rsidR="009B2B6B" w:rsidRPr="00267B90" w:rsidRDefault="009B2B6B"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8" w:space="0" w:color="auto"/>
            </w:tcBorders>
            <w:shd w:val="clear" w:color="auto" w:fill="auto"/>
            <w:noWrap/>
            <w:vAlign w:val="center"/>
            <w:hideMark/>
          </w:tcPr>
          <w:p w:rsidR="009B2B6B" w:rsidRPr="00267B90" w:rsidRDefault="009B2B6B"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8" w:space="0" w:color="auto"/>
            </w:tcBorders>
            <w:shd w:val="clear" w:color="auto" w:fill="auto"/>
            <w:noWrap/>
            <w:vAlign w:val="center"/>
            <w:hideMark/>
          </w:tcPr>
          <w:p w:rsidR="009B2B6B" w:rsidRPr="00267B90" w:rsidRDefault="009B2B6B"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8" w:space="0" w:color="auto"/>
            </w:tcBorders>
            <w:shd w:val="clear" w:color="auto" w:fill="auto"/>
            <w:noWrap/>
            <w:vAlign w:val="center"/>
            <w:hideMark/>
          </w:tcPr>
          <w:p w:rsidR="009B2B6B" w:rsidRPr="00267B90" w:rsidRDefault="009B2B6B"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8" w:space="0" w:color="auto"/>
            </w:tcBorders>
            <w:shd w:val="clear" w:color="auto" w:fill="auto"/>
            <w:noWrap/>
            <w:vAlign w:val="center"/>
            <w:hideMark/>
          </w:tcPr>
          <w:p w:rsidR="009B2B6B" w:rsidRPr="00267B90" w:rsidRDefault="009B2B6B"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12" w:space="0" w:color="auto"/>
            </w:tcBorders>
            <w:shd w:val="clear" w:color="auto" w:fill="auto"/>
            <w:noWrap/>
            <w:vAlign w:val="center"/>
            <w:hideMark/>
          </w:tcPr>
          <w:p w:rsidR="009B2B6B" w:rsidRPr="00267B90" w:rsidRDefault="009B2B6B"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r>
      <w:tr w:rsidR="00267B90" w:rsidRPr="00267B90" w:rsidTr="00875C9C">
        <w:trPr>
          <w:jc w:val="center"/>
        </w:trPr>
        <w:tc>
          <w:tcPr>
            <w:tcW w:w="0" w:type="auto"/>
            <w:tcBorders>
              <w:top w:val="nil"/>
              <w:left w:val="single" w:sz="12" w:space="0" w:color="auto"/>
              <w:bottom w:val="single" w:sz="12" w:space="0" w:color="auto"/>
              <w:right w:val="single" w:sz="12" w:space="0" w:color="auto"/>
            </w:tcBorders>
            <w:shd w:val="clear" w:color="000000" w:fill="FFFFFF"/>
            <w:noWrap/>
            <w:vAlign w:val="center"/>
            <w:hideMark/>
          </w:tcPr>
          <w:p w:rsidR="00267B90" w:rsidRPr="00267B90" w:rsidRDefault="00267B90" w:rsidP="00A73480">
            <w:pPr>
              <w:spacing w:after="0" w:line="240" w:lineRule="auto"/>
              <w:ind w:left="170" w:right="170"/>
              <w:rPr>
                <w:rFonts w:ascii="Times New Roman" w:eastAsia="Times New Roman" w:hAnsi="Times New Roman" w:cs="Times New Roman"/>
                <w:color w:val="000000"/>
                <w:sz w:val="20"/>
                <w:szCs w:val="20"/>
              </w:rPr>
            </w:pPr>
            <w:r w:rsidRPr="00267B90">
              <w:rPr>
                <w:rFonts w:ascii="Times New Roman" w:eastAsia="Times New Roman" w:hAnsi="Times New Roman" w:cs="Times New Roman"/>
                <w:color w:val="000000"/>
                <w:sz w:val="20"/>
                <w:szCs w:val="20"/>
              </w:rPr>
              <w:t>IRR – общо проект (%)</w:t>
            </w:r>
          </w:p>
        </w:tc>
        <w:tc>
          <w:tcPr>
            <w:tcW w:w="0" w:type="auto"/>
            <w:tcBorders>
              <w:top w:val="nil"/>
              <w:left w:val="single" w:sz="12" w:space="0" w:color="auto"/>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3,60%</w:t>
            </w:r>
          </w:p>
        </w:tc>
        <w:tc>
          <w:tcPr>
            <w:tcW w:w="0" w:type="auto"/>
            <w:tcBorders>
              <w:top w:val="nil"/>
              <w:left w:val="nil"/>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3,53%</w:t>
            </w:r>
          </w:p>
        </w:tc>
        <w:tc>
          <w:tcPr>
            <w:tcW w:w="0" w:type="auto"/>
            <w:tcBorders>
              <w:top w:val="nil"/>
              <w:left w:val="nil"/>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3,45%</w:t>
            </w:r>
          </w:p>
        </w:tc>
        <w:tc>
          <w:tcPr>
            <w:tcW w:w="0" w:type="auto"/>
            <w:tcBorders>
              <w:top w:val="nil"/>
              <w:left w:val="nil"/>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3,60%</w:t>
            </w:r>
          </w:p>
        </w:tc>
        <w:tc>
          <w:tcPr>
            <w:tcW w:w="0" w:type="auto"/>
            <w:tcBorders>
              <w:top w:val="nil"/>
              <w:left w:val="nil"/>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3,53%</w:t>
            </w:r>
          </w:p>
        </w:tc>
        <w:tc>
          <w:tcPr>
            <w:tcW w:w="0" w:type="auto"/>
            <w:tcBorders>
              <w:top w:val="nil"/>
              <w:left w:val="nil"/>
              <w:bottom w:val="single" w:sz="12" w:space="0" w:color="auto"/>
              <w:right w:val="single" w:sz="12"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3,45%</w:t>
            </w:r>
          </w:p>
        </w:tc>
      </w:tr>
      <w:tr w:rsidR="00950BDF" w:rsidRPr="00267B90" w:rsidTr="00A73480">
        <w:trPr>
          <w:jc w:val="center"/>
        </w:trPr>
        <w:tc>
          <w:tcPr>
            <w:tcW w:w="0" w:type="auto"/>
            <w:gridSpan w:val="7"/>
            <w:tcBorders>
              <w:top w:val="single" w:sz="12" w:space="0" w:color="auto"/>
              <w:left w:val="single" w:sz="12" w:space="0" w:color="auto"/>
              <w:bottom w:val="single" w:sz="8" w:space="0" w:color="auto"/>
              <w:right w:val="single" w:sz="12" w:space="0" w:color="auto"/>
            </w:tcBorders>
            <w:shd w:val="clear" w:color="000000" w:fill="DBE5F1"/>
            <w:noWrap/>
            <w:vAlign w:val="center"/>
            <w:hideMark/>
          </w:tcPr>
          <w:p w:rsidR="00950BDF" w:rsidRPr="00267B90" w:rsidRDefault="00950BDF" w:rsidP="00A73480">
            <w:pPr>
              <w:spacing w:after="0" w:line="240" w:lineRule="auto"/>
              <w:ind w:left="170" w:right="170"/>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 xml:space="preserve">Цена на вътрешен пазар </w:t>
            </w:r>
            <w:r w:rsidR="009B2B6B" w:rsidRPr="00267B90">
              <w:rPr>
                <w:rFonts w:ascii="Times New Roman" w:eastAsia="Times New Roman" w:hAnsi="Times New Roman" w:cs="Times New Roman"/>
                <w:b/>
                <w:bCs/>
                <w:color w:val="000000"/>
                <w:sz w:val="20"/>
                <w:szCs w:val="20"/>
              </w:rPr>
              <w:t>–</w:t>
            </w:r>
            <w:r w:rsidRPr="00267B90">
              <w:rPr>
                <w:rFonts w:ascii="Times New Roman" w:eastAsia="Times New Roman" w:hAnsi="Times New Roman" w:cs="Times New Roman"/>
                <w:b/>
                <w:bCs/>
                <w:color w:val="000000"/>
                <w:sz w:val="20"/>
                <w:szCs w:val="20"/>
              </w:rPr>
              <w:t xml:space="preserve"> среден сценарий/Ниво на натоварване на мощностите </w:t>
            </w:r>
            <w:r w:rsidR="009B2B6B" w:rsidRPr="00267B90">
              <w:rPr>
                <w:rFonts w:ascii="Times New Roman" w:eastAsia="Times New Roman" w:hAnsi="Times New Roman" w:cs="Times New Roman"/>
                <w:b/>
                <w:bCs/>
                <w:color w:val="000000"/>
                <w:sz w:val="20"/>
                <w:szCs w:val="20"/>
              </w:rPr>
              <w:t>–</w:t>
            </w:r>
            <w:r w:rsidRPr="00267B90">
              <w:rPr>
                <w:rFonts w:ascii="Times New Roman" w:eastAsia="Times New Roman" w:hAnsi="Times New Roman" w:cs="Times New Roman"/>
                <w:b/>
                <w:bCs/>
                <w:color w:val="000000"/>
                <w:sz w:val="20"/>
                <w:szCs w:val="20"/>
              </w:rPr>
              <w:t xml:space="preserve"> 100%</w:t>
            </w:r>
          </w:p>
        </w:tc>
      </w:tr>
      <w:tr w:rsidR="009B2B6B" w:rsidRPr="00267B90" w:rsidTr="009B2B6B">
        <w:trPr>
          <w:jc w:val="center"/>
        </w:trPr>
        <w:tc>
          <w:tcPr>
            <w:tcW w:w="0" w:type="auto"/>
            <w:tcBorders>
              <w:top w:val="nil"/>
              <w:left w:val="single" w:sz="12" w:space="0" w:color="auto"/>
              <w:bottom w:val="single" w:sz="8" w:space="0" w:color="auto"/>
              <w:right w:val="single" w:sz="12" w:space="0" w:color="auto"/>
            </w:tcBorders>
            <w:shd w:val="clear" w:color="000000" w:fill="FFFFFF"/>
            <w:noWrap/>
            <w:vAlign w:val="center"/>
            <w:hideMark/>
          </w:tcPr>
          <w:p w:rsidR="009B2B6B" w:rsidRPr="00267B90" w:rsidRDefault="009B2B6B" w:rsidP="00A73480">
            <w:pPr>
              <w:spacing w:after="0" w:line="240" w:lineRule="auto"/>
              <w:ind w:left="170" w:right="170"/>
              <w:rPr>
                <w:rFonts w:ascii="Times New Roman" w:eastAsia="Times New Roman" w:hAnsi="Times New Roman" w:cs="Times New Roman"/>
                <w:color w:val="000000"/>
                <w:sz w:val="20"/>
                <w:szCs w:val="20"/>
              </w:rPr>
            </w:pPr>
            <w:r w:rsidRPr="00267B90">
              <w:rPr>
                <w:rFonts w:ascii="Times New Roman" w:eastAsia="Times New Roman" w:hAnsi="Times New Roman" w:cs="Times New Roman"/>
                <w:color w:val="000000"/>
                <w:sz w:val="20"/>
                <w:szCs w:val="20"/>
              </w:rPr>
              <w:t>NPV – общо проект</w:t>
            </w:r>
          </w:p>
        </w:tc>
        <w:tc>
          <w:tcPr>
            <w:tcW w:w="0" w:type="auto"/>
            <w:tcBorders>
              <w:top w:val="nil"/>
              <w:left w:val="single" w:sz="12" w:space="0" w:color="auto"/>
              <w:bottom w:val="single" w:sz="8" w:space="0" w:color="auto"/>
              <w:right w:val="single" w:sz="8" w:space="0" w:color="auto"/>
            </w:tcBorders>
            <w:shd w:val="clear" w:color="auto" w:fill="auto"/>
            <w:noWrap/>
            <w:vAlign w:val="center"/>
            <w:hideMark/>
          </w:tcPr>
          <w:p w:rsidR="009B2B6B" w:rsidRPr="00267B90" w:rsidRDefault="009B2B6B"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8" w:space="0" w:color="auto"/>
            </w:tcBorders>
            <w:shd w:val="clear" w:color="auto" w:fill="auto"/>
            <w:noWrap/>
            <w:vAlign w:val="center"/>
            <w:hideMark/>
          </w:tcPr>
          <w:p w:rsidR="009B2B6B" w:rsidRPr="00267B90" w:rsidRDefault="009B2B6B"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8" w:space="0" w:color="auto"/>
            </w:tcBorders>
            <w:shd w:val="clear" w:color="auto" w:fill="auto"/>
            <w:noWrap/>
            <w:vAlign w:val="center"/>
            <w:hideMark/>
          </w:tcPr>
          <w:p w:rsidR="009B2B6B" w:rsidRPr="00267B90" w:rsidRDefault="009B2B6B"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8" w:space="0" w:color="auto"/>
            </w:tcBorders>
            <w:shd w:val="clear" w:color="auto" w:fill="auto"/>
            <w:noWrap/>
            <w:vAlign w:val="center"/>
            <w:hideMark/>
          </w:tcPr>
          <w:p w:rsidR="009B2B6B" w:rsidRPr="00267B90" w:rsidRDefault="009B2B6B"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8" w:space="0" w:color="auto"/>
            </w:tcBorders>
            <w:shd w:val="clear" w:color="auto" w:fill="auto"/>
            <w:noWrap/>
            <w:vAlign w:val="center"/>
            <w:hideMark/>
          </w:tcPr>
          <w:p w:rsidR="009B2B6B" w:rsidRPr="00267B90" w:rsidRDefault="009B2B6B"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12" w:space="0" w:color="auto"/>
            </w:tcBorders>
            <w:shd w:val="clear" w:color="auto" w:fill="auto"/>
            <w:noWrap/>
            <w:vAlign w:val="center"/>
            <w:hideMark/>
          </w:tcPr>
          <w:p w:rsidR="009B2B6B" w:rsidRPr="00267B90" w:rsidRDefault="009B2B6B"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r>
      <w:tr w:rsidR="00267B90" w:rsidRPr="00267B90" w:rsidTr="00875C9C">
        <w:trPr>
          <w:jc w:val="center"/>
        </w:trPr>
        <w:tc>
          <w:tcPr>
            <w:tcW w:w="0" w:type="auto"/>
            <w:tcBorders>
              <w:top w:val="nil"/>
              <w:left w:val="single" w:sz="12" w:space="0" w:color="auto"/>
              <w:bottom w:val="single" w:sz="12" w:space="0" w:color="auto"/>
              <w:right w:val="single" w:sz="12" w:space="0" w:color="auto"/>
            </w:tcBorders>
            <w:shd w:val="clear" w:color="000000" w:fill="FFFFFF"/>
            <w:noWrap/>
            <w:vAlign w:val="center"/>
            <w:hideMark/>
          </w:tcPr>
          <w:p w:rsidR="00267B90" w:rsidRPr="00267B90" w:rsidRDefault="00267B90" w:rsidP="00A73480">
            <w:pPr>
              <w:spacing w:after="0" w:line="240" w:lineRule="auto"/>
              <w:ind w:left="170" w:right="170"/>
              <w:rPr>
                <w:rFonts w:ascii="Times New Roman" w:eastAsia="Times New Roman" w:hAnsi="Times New Roman" w:cs="Times New Roman"/>
                <w:color w:val="000000"/>
                <w:sz w:val="20"/>
                <w:szCs w:val="20"/>
              </w:rPr>
            </w:pPr>
            <w:r w:rsidRPr="00267B90">
              <w:rPr>
                <w:rFonts w:ascii="Times New Roman" w:eastAsia="Times New Roman" w:hAnsi="Times New Roman" w:cs="Times New Roman"/>
                <w:color w:val="000000"/>
                <w:sz w:val="20"/>
                <w:szCs w:val="20"/>
              </w:rPr>
              <w:t>IRR – общо проект (%)</w:t>
            </w:r>
          </w:p>
        </w:tc>
        <w:tc>
          <w:tcPr>
            <w:tcW w:w="0" w:type="auto"/>
            <w:tcBorders>
              <w:top w:val="nil"/>
              <w:left w:val="single" w:sz="12" w:space="0" w:color="auto"/>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4,48%</w:t>
            </w:r>
          </w:p>
        </w:tc>
        <w:tc>
          <w:tcPr>
            <w:tcW w:w="0" w:type="auto"/>
            <w:tcBorders>
              <w:top w:val="nil"/>
              <w:left w:val="nil"/>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4,41%</w:t>
            </w:r>
          </w:p>
        </w:tc>
        <w:tc>
          <w:tcPr>
            <w:tcW w:w="0" w:type="auto"/>
            <w:tcBorders>
              <w:top w:val="nil"/>
              <w:left w:val="nil"/>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4,33%</w:t>
            </w:r>
          </w:p>
        </w:tc>
        <w:tc>
          <w:tcPr>
            <w:tcW w:w="0" w:type="auto"/>
            <w:tcBorders>
              <w:top w:val="nil"/>
              <w:left w:val="nil"/>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4,48%</w:t>
            </w:r>
          </w:p>
        </w:tc>
        <w:tc>
          <w:tcPr>
            <w:tcW w:w="0" w:type="auto"/>
            <w:tcBorders>
              <w:top w:val="nil"/>
              <w:left w:val="nil"/>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4,41%</w:t>
            </w:r>
          </w:p>
        </w:tc>
        <w:tc>
          <w:tcPr>
            <w:tcW w:w="0" w:type="auto"/>
            <w:tcBorders>
              <w:top w:val="nil"/>
              <w:left w:val="nil"/>
              <w:bottom w:val="single" w:sz="12" w:space="0" w:color="auto"/>
              <w:right w:val="single" w:sz="12"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4,33%</w:t>
            </w:r>
          </w:p>
        </w:tc>
      </w:tr>
      <w:tr w:rsidR="00950BDF" w:rsidRPr="00267B90" w:rsidTr="00A73480">
        <w:trPr>
          <w:jc w:val="center"/>
        </w:trPr>
        <w:tc>
          <w:tcPr>
            <w:tcW w:w="0" w:type="auto"/>
            <w:gridSpan w:val="7"/>
            <w:tcBorders>
              <w:top w:val="single" w:sz="12" w:space="0" w:color="auto"/>
              <w:left w:val="single" w:sz="12" w:space="0" w:color="auto"/>
              <w:bottom w:val="single" w:sz="8" w:space="0" w:color="auto"/>
              <w:right w:val="single" w:sz="12" w:space="0" w:color="auto"/>
            </w:tcBorders>
            <w:shd w:val="clear" w:color="000000" w:fill="DBE5F1"/>
            <w:noWrap/>
            <w:vAlign w:val="center"/>
            <w:hideMark/>
          </w:tcPr>
          <w:p w:rsidR="00950BDF" w:rsidRPr="00267B90" w:rsidRDefault="00950BDF" w:rsidP="00A73480">
            <w:pPr>
              <w:spacing w:after="0" w:line="240" w:lineRule="auto"/>
              <w:ind w:left="170" w:right="170"/>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 xml:space="preserve">Цена на регионален пазар </w:t>
            </w:r>
            <w:r w:rsidR="009B2B6B" w:rsidRPr="00267B90">
              <w:rPr>
                <w:rFonts w:ascii="Times New Roman" w:eastAsia="Times New Roman" w:hAnsi="Times New Roman" w:cs="Times New Roman"/>
                <w:b/>
                <w:bCs/>
                <w:color w:val="000000"/>
                <w:sz w:val="20"/>
                <w:szCs w:val="20"/>
              </w:rPr>
              <w:t>–</w:t>
            </w:r>
            <w:r w:rsidRPr="00267B90">
              <w:rPr>
                <w:rFonts w:ascii="Times New Roman" w:eastAsia="Times New Roman" w:hAnsi="Times New Roman" w:cs="Times New Roman"/>
                <w:b/>
                <w:bCs/>
                <w:color w:val="000000"/>
                <w:sz w:val="20"/>
                <w:szCs w:val="20"/>
              </w:rPr>
              <w:t xml:space="preserve"> Сценарий 3/Ниво на натоварване на мощностите </w:t>
            </w:r>
            <w:r w:rsidR="009B2B6B" w:rsidRPr="00267B90">
              <w:rPr>
                <w:rFonts w:ascii="Times New Roman" w:eastAsia="Times New Roman" w:hAnsi="Times New Roman" w:cs="Times New Roman"/>
                <w:b/>
                <w:bCs/>
                <w:color w:val="000000"/>
                <w:sz w:val="20"/>
                <w:szCs w:val="20"/>
              </w:rPr>
              <w:t>–</w:t>
            </w:r>
            <w:r w:rsidRPr="00267B90">
              <w:rPr>
                <w:rFonts w:ascii="Times New Roman" w:eastAsia="Times New Roman" w:hAnsi="Times New Roman" w:cs="Times New Roman"/>
                <w:b/>
                <w:bCs/>
                <w:color w:val="000000"/>
                <w:sz w:val="20"/>
                <w:szCs w:val="20"/>
              </w:rPr>
              <w:t xml:space="preserve"> 100%</w:t>
            </w:r>
          </w:p>
        </w:tc>
      </w:tr>
      <w:tr w:rsidR="009B2B6B" w:rsidRPr="00267B90" w:rsidTr="009B2B6B">
        <w:trPr>
          <w:jc w:val="center"/>
        </w:trPr>
        <w:tc>
          <w:tcPr>
            <w:tcW w:w="0" w:type="auto"/>
            <w:tcBorders>
              <w:top w:val="nil"/>
              <w:left w:val="single" w:sz="12" w:space="0" w:color="auto"/>
              <w:bottom w:val="single" w:sz="8" w:space="0" w:color="auto"/>
              <w:right w:val="single" w:sz="12" w:space="0" w:color="auto"/>
            </w:tcBorders>
            <w:shd w:val="clear" w:color="000000" w:fill="FFFFFF"/>
            <w:noWrap/>
            <w:vAlign w:val="center"/>
            <w:hideMark/>
          </w:tcPr>
          <w:p w:rsidR="009B2B6B" w:rsidRPr="00267B90" w:rsidRDefault="009B2B6B" w:rsidP="00A73480">
            <w:pPr>
              <w:spacing w:after="0" w:line="240" w:lineRule="auto"/>
              <w:ind w:left="170" w:right="170"/>
              <w:rPr>
                <w:rFonts w:ascii="Times New Roman" w:eastAsia="Times New Roman" w:hAnsi="Times New Roman" w:cs="Times New Roman"/>
                <w:color w:val="000000"/>
                <w:sz w:val="20"/>
                <w:szCs w:val="20"/>
              </w:rPr>
            </w:pPr>
            <w:r w:rsidRPr="00267B90">
              <w:rPr>
                <w:rFonts w:ascii="Times New Roman" w:eastAsia="Times New Roman" w:hAnsi="Times New Roman" w:cs="Times New Roman"/>
                <w:color w:val="000000"/>
                <w:sz w:val="20"/>
                <w:szCs w:val="20"/>
              </w:rPr>
              <w:t>NPV – общо проект</w:t>
            </w:r>
          </w:p>
        </w:tc>
        <w:tc>
          <w:tcPr>
            <w:tcW w:w="0" w:type="auto"/>
            <w:tcBorders>
              <w:top w:val="nil"/>
              <w:left w:val="single" w:sz="12" w:space="0" w:color="auto"/>
              <w:bottom w:val="single" w:sz="8" w:space="0" w:color="auto"/>
              <w:right w:val="single" w:sz="8" w:space="0" w:color="auto"/>
            </w:tcBorders>
            <w:shd w:val="clear" w:color="auto" w:fill="auto"/>
            <w:noWrap/>
            <w:vAlign w:val="center"/>
            <w:hideMark/>
          </w:tcPr>
          <w:p w:rsidR="009B2B6B" w:rsidRPr="00267B90" w:rsidRDefault="009B2B6B"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8" w:space="0" w:color="auto"/>
            </w:tcBorders>
            <w:shd w:val="clear" w:color="auto" w:fill="auto"/>
            <w:noWrap/>
            <w:vAlign w:val="center"/>
            <w:hideMark/>
          </w:tcPr>
          <w:p w:rsidR="009B2B6B" w:rsidRPr="00267B90" w:rsidRDefault="009B2B6B"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8" w:space="0" w:color="auto"/>
            </w:tcBorders>
            <w:shd w:val="clear" w:color="auto" w:fill="auto"/>
            <w:noWrap/>
            <w:vAlign w:val="center"/>
            <w:hideMark/>
          </w:tcPr>
          <w:p w:rsidR="009B2B6B" w:rsidRPr="00267B90" w:rsidRDefault="009B2B6B"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8" w:space="0" w:color="auto"/>
            </w:tcBorders>
            <w:shd w:val="clear" w:color="auto" w:fill="auto"/>
            <w:noWrap/>
            <w:vAlign w:val="center"/>
            <w:hideMark/>
          </w:tcPr>
          <w:p w:rsidR="009B2B6B" w:rsidRPr="00267B90" w:rsidRDefault="009B2B6B"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8" w:space="0" w:color="auto"/>
            </w:tcBorders>
            <w:shd w:val="clear" w:color="auto" w:fill="auto"/>
            <w:noWrap/>
            <w:vAlign w:val="center"/>
            <w:hideMark/>
          </w:tcPr>
          <w:p w:rsidR="009B2B6B" w:rsidRPr="00267B90" w:rsidRDefault="009B2B6B"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12" w:space="0" w:color="auto"/>
            </w:tcBorders>
            <w:shd w:val="clear" w:color="auto" w:fill="auto"/>
            <w:noWrap/>
            <w:vAlign w:val="center"/>
            <w:hideMark/>
          </w:tcPr>
          <w:p w:rsidR="009B2B6B" w:rsidRPr="00267B90" w:rsidRDefault="009B2B6B"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r>
      <w:tr w:rsidR="00267B90" w:rsidRPr="00267B90" w:rsidTr="00875C9C">
        <w:trPr>
          <w:jc w:val="center"/>
        </w:trPr>
        <w:tc>
          <w:tcPr>
            <w:tcW w:w="0" w:type="auto"/>
            <w:tcBorders>
              <w:top w:val="nil"/>
              <w:left w:val="single" w:sz="12" w:space="0" w:color="auto"/>
              <w:bottom w:val="single" w:sz="12" w:space="0" w:color="auto"/>
              <w:right w:val="single" w:sz="12" w:space="0" w:color="auto"/>
            </w:tcBorders>
            <w:shd w:val="clear" w:color="000000" w:fill="FFFFFF"/>
            <w:noWrap/>
            <w:vAlign w:val="center"/>
            <w:hideMark/>
          </w:tcPr>
          <w:p w:rsidR="00267B90" w:rsidRPr="00267B90" w:rsidRDefault="00267B90" w:rsidP="00A73480">
            <w:pPr>
              <w:spacing w:after="0" w:line="240" w:lineRule="auto"/>
              <w:ind w:left="170" w:right="170"/>
              <w:rPr>
                <w:rFonts w:ascii="Times New Roman" w:eastAsia="Times New Roman" w:hAnsi="Times New Roman" w:cs="Times New Roman"/>
                <w:color w:val="000000"/>
                <w:sz w:val="20"/>
                <w:szCs w:val="20"/>
              </w:rPr>
            </w:pPr>
            <w:r w:rsidRPr="00267B90">
              <w:rPr>
                <w:rFonts w:ascii="Times New Roman" w:eastAsia="Times New Roman" w:hAnsi="Times New Roman" w:cs="Times New Roman"/>
                <w:color w:val="000000"/>
                <w:sz w:val="20"/>
                <w:szCs w:val="20"/>
              </w:rPr>
              <w:t>IRR – общо проект (%)</w:t>
            </w:r>
          </w:p>
        </w:tc>
        <w:tc>
          <w:tcPr>
            <w:tcW w:w="0" w:type="auto"/>
            <w:tcBorders>
              <w:top w:val="nil"/>
              <w:left w:val="single" w:sz="12" w:space="0" w:color="auto"/>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4,80%</w:t>
            </w:r>
          </w:p>
        </w:tc>
        <w:tc>
          <w:tcPr>
            <w:tcW w:w="0" w:type="auto"/>
            <w:tcBorders>
              <w:top w:val="nil"/>
              <w:left w:val="nil"/>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4,73%</w:t>
            </w:r>
          </w:p>
        </w:tc>
        <w:tc>
          <w:tcPr>
            <w:tcW w:w="0" w:type="auto"/>
            <w:tcBorders>
              <w:top w:val="nil"/>
              <w:left w:val="nil"/>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4,65%</w:t>
            </w:r>
          </w:p>
        </w:tc>
        <w:tc>
          <w:tcPr>
            <w:tcW w:w="0" w:type="auto"/>
            <w:tcBorders>
              <w:top w:val="nil"/>
              <w:left w:val="nil"/>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4,80%</w:t>
            </w:r>
          </w:p>
        </w:tc>
        <w:tc>
          <w:tcPr>
            <w:tcW w:w="0" w:type="auto"/>
            <w:tcBorders>
              <w:top w:val="nil"/>
              <w:left w:val="nil"/>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4,73%</w:t>
            </w:r>
          </w:p>
        </w:tc>
        <w:tc>
          <w:tcPr>
            <w:tcW w:w="0" w:type="auto"/>
            <w:tcBorders>
              <w:top w:val="nil"/>
              <w:left w:val="nil"/>
              <w:bottom w:val="single" w:sz="12" w:space="0" w:color="auto"/>
              <w:right w:val="single" w:sz="12"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4,65%</w:t>
            </w:r>
          </w:p>
        </w:tc>
      </w:tr>
      <w:tr w:rsidR="00950BDF" w:rsidRPr="00267B90" w:rsidTr="00A73480">
        <w:trPr>
          <w:jc w:val="center"/>
        </w:trPr>
        <w:tc>
          <w:tcPr>
            <w:tcW w:w="0" w:type="auto"/>
            <w:gridSpan w:val="7"/>
            <w:tcBorders>
              <w:top w:val="single" w:sz="12" w:space="0" w:color="auto"/>
              <w:left w:val="single" w:sz="12" w:space="0" w:color="auto"/>
              <w:bottom w:val="single" w:sz="8" w:space="0" w:color="auto"/>
              <w:right w:val="single" w:sz="12" w:space="0" w:color="auto"/>
            </w:tcBorders>
            <w:shd w:val="clear" w:color="000000" w:fill="DBE5F1"/>
            <w:noWrap/>
            <w:vAlign w:val="center"/>
            <w:hideMark/>
          </w:tcPr>
          <w:p w:rsidR="00950BDF" w:rsidRPr="00267B90" w:rsidRDefault="00950BDF" w:rsidP="00A73480">
            <w:pPr>
              <w:spacing w:after="0" w:line="240" w:lineRule="auto"/>
              <w:ind w:left="170" w:right="170"/>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 xml:space="preserve">Цена на регионален пазар </w:t>
            </w:r>
            <w:r w:rsidR="009B2B6B" w:rsidRPr="00267B90">
              <w:rPr>
                <w:rFonts w:ascii="Times New Roman" w:eastAsia="Times New Roman" w:hAnsi="Times New Roman" w:cs="Times New Roman"/>
                <w:b/>
                <w:bCs/>
                <w:color w:val="000000"/>
                <w:sz w:val="20"/>
                <w:szCs w:val="20"/>
              </w:rPr>
              <w:t>–</w:t>
            </w:r>
            <w:r w:rsidRPr="00267B90">
              <w:rPr>
                <w:rFonts w:ascii="Times New Roman" w:eastAsia="Times New Roman" w:hAnsi="Times New Roman" w:cs="Times New Roman"/>
                <w:b/>
                <w:bCs/>
                <w:color w:val="000000"/>
                <w:sz w:val="20"/>
                <w:szCs w:val="20"/>
              </w:rPr>
              <w:t xml:space="preserve"> Сценарий 6/Ниво на натоварване на мощностите </w:t>
            </w:r>
            <w:r w:rsidR="009B2B6B" w:rsidRPr="00267B90">
              <w:rPr>
                <w:rFonts w:ascii="Times New Roman" w:eastAsia="Times New Roman" w:hAnsi="Times New Roman" w:cs="Times New Roman"/>
                <w:b/>
                <w:bCs/>
                <w:color w:val="000000"/>
                <w:sz w:val="20"/>
                <w:szCs w:val="20"/>
              </w:rPr>
              <w:t>–</w:t>
            </w:r>
            <w:r w:rsidRPr="00267B90">
              <w:rPr>
                <w:rFonts w:ascii="Times New Roman" w:eastAsia="Times New Roman" w:hAnsi="Times New Roman" w:cs="Times New Roman"/>
                <w:b/>
                <w:bCs/>
                <w:color w:val="000000"/>
                <w:sz w:val="20"/>
                <w:szCs w:val="20"/>
              </w:rPr>
              <w:t xml:space="preserve"> 100%</w:t>
            </w:r>
          </w:p>
        </w:tc>
      </w:tr>
      <w:tr w:rsidR="009B2B6B" w:rsidRPr="00267B90" w:rsidTr="009B2B6B">
        <w:trPr>
          <w:jc w:val="center"/>
        </w:trPr>
        <w:tc>
          <w:tcPr>
            <w:tcW w:w="0" w:type="auto"/>
            <w:tcBorders>
              <w:top w:val="nil"/>
              <w:left w:val="single" w:sz="12" w:space="0" w:color="auto"/>
              <w:bottom w:val="single" w:sz="8" w:space="0" w:color="auto"/>
              <w:right w:val="single" w:sz="12" w:space="0" w:color="auto"/>
            </w:tcBorders>
            <w:shd w:val="clear" w:color="000000" w:fill="FFFFFF"/>
            <w:noWrap/>
            <w:vAlign w:val="center"/>
            <w:hideMark/>
          </w:tcPr>
          <w:p w:rsidR="009B2B6B" w:rsidRPr="00267B90" w:rsidRDefault="009B2B6B" w:rsidP="00A73480">
            <w:pPr>
              <w:spacing w:after="0" w:line="240" w:lineRule="auto"/>
              <w:ind w:left="170" w:right="170"/>
              <w:rPr>
                <w:rFonts w:ascii="Times New Roman" w:eastAsia="Times New Roman" w:hAnsi="Times New Roman" w:cs="Times New Roman"/>
                <w:color w:val="000000"/>
                <w:sz w:val="20"/>
                <w:szCs w:val="20"/>
              </w:rPr>
            </w:pPr>
            <w:r w:rsidRPr="00267B90">
              <w:rPr>
                <w:rFonts w:ascii="Times New Roman" w:eastAsia="Times New Roman" w:hAnsi="Times New Roman" w:cs="Times New Roman"/>
                <w:color w:val="000000"/>
                <w:sz w:val="20"/>
                <w:szCs w:val="20"/>
              </w:rPr>
              <w:t>NPV – общо проект</w:t>
            </w:r>
          </w:p>
        </w:tc>
        <w:tc>
          <w:tcPr>
            <w:tcW w:w="0" w:type="auto"/>
            <w:tcBorders>
              <w:top w:val="nil"/>
              <w:left w:val="single" w:sz="12" w:space="0" w:color="auto"/>
              <w:bottom w:val="single" w:sz="8" w:space="0" w:color="auto"/>
              <w:right w:val="single" w:sz="8" w:space="0" w:color="auto"/>
            </w:tcBorders>
            <w:shd w:val="clear" w:color="auto" w:fill="auto"/>
            <w:noWrap/>
            <w:vAlign w:val="center"/>
            <w:hideMark/>
          </w:tcPr>
          <w:p w:rsidR="009B2B6B" w:rsidRPr="00267B90" w:rsidRDefault="009B2B6B"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8" w:space="0" w:color="auto"/>
            </w:tcBorders>
            <w:shd w:val="clear" w:color="auto" w:fill="auto"/>
            <w:noWrap/>
            <w:vAlign w:val="center"/>
            <w:hideMark/>
          </w:tcPr>
          <w:p w:rsidR="009B2B6B" w:rsidRPr="00267B90" w:rsidRDefault="009B2B6B"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8" w:space="0" w:color="auto"/>
            </w:tcBorders>
            <w:shd w:val="clear" w:color="auto" w:fill="auto"/>
            <w:noWrap/>
            <w:vAlign w:val="center"/>
            <w:hideMark/>
          </w:tcPr>
          <w:p w:rsidR="009B2B6B" w:rsidRPr="00267B90" w:rsidRDefault="009B2B6B"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8" w:space="0" w:color="auto"/>
            </w:tcBorders>
            <w:shd w:val="clear" w:color="auto" w:fill="auto"/>
            <w:noWrap/>
            <w:vAlign w:val="center"/>
            <w:hideMark/>
          </w:tcPr>
          <w:p w:rsidR="009B2B6B" w:rsidRPr="00267B90" w:rsidRDefault="009B2B6B"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8" w:space="0" w:color="auto"/>
            </w:tcBorders>
            <w:shd w:val="clear" w:color="auto" w:fill="auto"/>
            <w:noWrap/>
            <w:vAlign w:val="center"/>
            <w:hideMark/>
          </w:tcPr>
          <w:p w:rsidR="009B2B6B" w:rsidRPr="00267B90" w:rsidRDefault="009B2B6B"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c>
          <w:tcPr>
            <w:tcW w:w="0" w:type="auto"/>
            <w:tcBorders>
              <w:top w:val="nil"/>
              <w:left w:val="nil"/>
              <w:bottom w:val="single" w:sz="8" w:space="0" w:color="auto"/>
              <w:right w:val="single" w:sz="12" w:space="0" w:color="auto"/>
            </w:tcBorders>
            <w:shd w:val="clear" w:color="auto" w:fill="auto"/>
            <w:noWrap/>
            <w:vAlign w:val="center"/>
            <w:hideMark/>
          </w:tcPr>
          <w:p w:rsidR="009B2B6B" w:rsidRPr="00267B90" w:rsidRDefault="009B2B6B" w:rsidP="00A73480">
            <w:pPr>
              <w:spacing w:after="0" w:line="240" w:lineRule="auto"/>
              <w:ind w:left="170" w:right="170"/>
              <w:jc w:val="center"/>
              <w:rPr>
                <w:rFonts w:ascii="Times New Roman" w:eastAsia="Times New Roman" w:hAnsi="Times New Roman" w:cs="Times New Roman"/>
                <w:color w:val="FF0000"/>
                <w:sz w:val="20"/>
                <w:szCs w:val="20"/>
              </w:rPr>
            </w:pPr>
            <w:r w:rsidRPr="00267B90">
              <w:rPr>
                <w:rFonts w:ascii="Times New Roman" w:eastAsia="Times New Roman" w:hAnsi="Times New Roman" w:cs="Times New Roman"/>
                <w:color w:val="FF0000"/>
                <w:sz w:val="20"/>
                <w:szCs w:val="20"/>
              </w:rPr>
              <w:t>отрицателна</w:t>
            </w:r>
          </w:p>
        </w:tc>
      </w:tr>
      <w:tr w:rsidR="00267B90" w:rsidRPr="00267B90" w:rsidTr="00875C9C">
        <w:trPr>
          <w:jc w:val="center"/>
        </w:trPr>
        <w:tc>
          <w:tcPr>
            <w:tcW w:w="0" w:type="auto"/>
            <w:tcBorders>
              <w:top w:val="nil"/>
              <w:left w:val="single" w:sz="12" w:space="0" w:color="auto"/>
              <w:bottom w:val="single" w:sz="12" w:space="0" w:color="auto"/>
              <w:right w:val="single" w:sz="12" w:space="0" w:color="auto"/>
            </w:tcBorders>
            <w:shd w:val="clear" w:color="000000" w:fill="FFFFFF"/>
            <w:noWrap/>
            <w:vAlign w:val="center"/>
            <w:hideMark/>
          </w:tcPr>
          <w:p w:rsidR="00267B90" w:rsidRPr="00267B90" w:rsidRDefault="00267B90" w:rsidP="00A73480">
            <w:pPr>
              <w:spacing w:after="0" w:line="240" w:lineRule="auto"/>
              <w:ind w:left="170" w:right="170"/>
              <w:rPr>
                <w:rFonts w:ascii="Times New Roman" w:eastAsia="Times New Roman" w:hAnsi="Times New Roman" w:cs="Times New Roman"/>
                <w:color w:val="000000"/>
                <w:sz w:val="20"/>
                <w:szCs w:val="20"/>
              </w:rPr>
            </w:pPr>
            <w:r w:rsidRPr="00267B90">
              <w:rPr>
                <w:rFonts w:ascii="Times New Roman" w:eastAsia="Times New Roman" w:hAnsi="Times New Roman" w:cs="Times New Roman"/>
                <w:color w:val="000000"/>
                <w:sz w:val="20"/>
                <w:szCs w:val="20"/>
              </w:rPr>
              <w:t>IRR – общо проект (%)</w:t>
            </w:r>
          </w:p>
        </w:tc>
        <w:tc>
          <w:tcPr>
            <w:tcW w:w="0" w:type="auto"/>
            <w:tcBorders>
              <w:top w:val="nil"/>
              <w:left w:val="single" w:sz="12" w:space="0" w:color="auto"/>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5,25%</w:t>
            </w:r>
          </w:p>
        </w:tc>
        <w:tc>
          <w:tcPr>
            <w:tcW w:w="0" w:type="auto"/>
            <w:tcBorders>
              <w:top w:val="nil"/>
              <w:left w:val="nil"/>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5,17%</w:t>
            </w:r>
          </w:p>
        </w:tc>
        <w:tc>
          <w:tcPr>
            <w:tcW w:w="0" w:type="auto"/>
            <w:tcBorders>
              <w:top w:val="nil"/>
              <w:left w:val="nil"/>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5,09%</w:t>
            </w:r>
          </w:p>
        </w:tc>
        <w:tc>
          <w:tcPr>
            <w:tcW w:w="0" w:type="auto"/>
            <w:tcBorders>
              <w:top w:val="nil"/>
              <w:left w:val="nil"/>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5,25%</w:t>
            </w:r>
          </w:p>
        </w:tc>
        <w:tc>
          <w:tcPr>
            <w:tcW w:w="0" w:type="auto"/>
            <w:tcBorders>
              <w:top w:val="nil"/>
              <w:left w:val="nil"/>
              <w:bottom w:val="single" w:sz="12" w:space="0" w:color="auto"/>
              <w:right w:val="single" w:sz="8"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5,17%</w:t>
            </w:r>
          </w:p>
        </w:tc>
        <w:tc>
          <w:tcPr>
            <w:tcW w:w="0" w:type="auto"/>
            <w:tcBorders>
              <w:top w:val="nil"/>
              <w:left w:val="nil"/>
              <w:bottom w:val="single" w:sz="12" w:space="0" w:color="auto"/>
              <w:right w:val="single" w:sz="12" w:space="0" w:color="auto"/>
            </w:tcBorders>
            <w:shd w:val="clear" w:color="auto" w:fill="auto"/>
            <w:noWrap/>
            <w:vAlign w:val="center"/>
          </w:tcPr>
          <w:p w:rsidR="00267B90" w:rsidRPr="00267B90" w:rsidRDefault="00267B90" w:rsidP="00A73480">
            <w:pPr>
              <w:spacing w:after="0" w:line="240" w:lineRule="auto"/>
              <w:ind w:left="170" w:right="170"/>
              <w:jc w:val="right"/>
              <w:rPr>
                <w:rFonts w:ascii="Times New Roman" w:eastAsia="Times New Roman" w:hAnsi="Times New Roman" w:cs="Times New Roman"/>
                <w:color w:val="000000"/>
                <w:sz w:val="20"/>
                <w:szCs w:val="20"/>
              </w:rPr>
            </w:pPr>
            <w:r w:rsidRPr="00267B90">
              <w:rPr>
                <w:rFonts w:ascii="Times New Roman" w:hAnsi="Times New Roman" w:cs="Times New Roman"/>
                <w:color w:val="000000"/>
                <w:sz w:val="20"/>
                <w:szCs w:val="20"/>
              </w:rPr>
              <w:t>5,09%</w:t>
            </w:r>
          </w:p>
        </w:tc>
      </w:tr>
    </w:tbl>
    <w:p w:rsidR="00950BDF" w:rsidRPr="00CA6AE8" w:rsidRDefault="00950BDF" w:rsidP="00E44C19">
      <w:pPr>
        <w:spacing w:before="120" w:after="120" w:line="240" w:lineRule="auto"/>
        <w:jc w:val="center"/>
        <w:rPr>
          <w:rFonts w:ascii="Times New Roman" w:hAnsi="Times New Roman" w:cs="Times New Roman"/>
          <w:sz w:val="20"/>
          <w:szCs w:val="24"/>
        </w:rPr>
      </w:pPr>
      <w:r w:rsidRPr="00CA6AE8">
        <w:rPr>
          <w:rFonts w:ascii="Times New Roman" w:hAnsi="Times New Roman" w:cs="Times New Roman"/>
          <w:sz w:val="20"/>
          <w:szCs w:val="24"/>
        </w:rPr>
        <w:t>Източник: Съставена от авторите на основа на получени резултати от модела.</w:t>
      </w:r>
    </w:p>
    <w:p w:rsidR="00950BDF" w:rsidRPr="00950BDF" w:rsidRDefault="00950BDF" w:rsidP="00E44C19">
      <w:pPr>
        <w:spacing w:before="120" w:after="120" w:line="240" w:lineRule="auto"/>
        <w:rPr>
          <w:rFonts w:ascii="Times New Roman" w:hAnsi="Times New Roman" w:cs="Times New Roman"/>
          <w:sz w:val="24"/>
          <w:szCs w:val="24"/>
        </w:rPr>
      </w:pPr>
      <w:r w:rsidRPr="00950BDF">
        <w:rPr>
          <w:rFonts w:ascii="Times New Roman" w:hAnsi="Times New Roman" w:cs="Times New Roman"/>
          <w:sz w:val="24"/>
          <w:szCs w:val="24"/>
        </w:rPr>
        <w:br w:type="page"/>
      </w:r>
    </w:p>
    <w:p w:rsidR="00950BDF" w:rsidRPr="00267B90" w:rsidRDefault="00267B90" w:rsidP="00267B90">
      <w:pPr>
        <w:pStyle w:val="Caption"/>
        <w:rPr>
          <w:rFonts w:ascii="Times New Roman" w:hAnsi="Times New Roman"/>
          <w:szCs w:val="24"/>
        </w:rPr>
      </w:pPr>
      <w:bookmarkStart w:id="175" w:name="_Toc491994425"/>
      <w:bookmarkStart w:id="176" w:name="_Toc493240916"/>
      <w:r w:rsidRPr="00DB1A1E">
        <w:rPr>
          <w:rFonts w:hint="eastAsia"/>
        </w:rPr>
        <w:lastRenderedPageBreak/>
        <w:t>Таблица</w:t>
      </w:r>
      <w:r w:rsidRPr="00DB1A1E">
        <w:t xml:space="preserve"> V.</w:t>
      </w:r>
      <w:r w:rsidR="0097530B">
        <w:fldChar w:fldCharType="begin"/>
      </w:r>
      <w:r w:rsidR="00042F89">
        <w:instrText xml:space="preserve"> SEQ Таблица_V. \* ARABIC </w:instrText>
      </w:r>
      <w:r w:rsidR="0097530B">
        <w:fldChar w:fldCharType="separate"/>
      </w:r>
      <w:r w:rsidR="00F44EBF">
        <w:rPr>
          <w:noProof/>
        </w:rPr>
        <w:t>20</w:t>
      </w:r>
      <w:r w:rsidR="0097530B">
        <w:rPr>
          <w:noProof/>
        </w:rPr>
        <w:fldChar w:fldCharType="end"/>
      </w:r>
      <w:r w:rsidRPr="00DB1A1E">
        <w:rPr>
          <w:rFonts w:asciiTheme="minorHAnsi" w:hAnsiTheme="minorHAnsi"/>
        </w:rPr>
        <w:t xml:space="preserve">. </w:t>
      </w:r>
      <w:r w:rsidR="00950BDF" w:rsidRPr="00DB1A1E">
        <w:rPr>
          <w:rFonts w:ascii="Times New Roman" w:hAnsi="Times New Roman"/>
          <w:szCs w:val="24"/>
        </w:rPr>
        <w:t>Влияние на ценовите сценарии и нивата на натоварване върху нивото на възвръщаемост на частния инвеститор/държавата</w:t>
      </w:r>
      <w:bookmarkEnd w:id="175"/>
      <w:r w:rsidR="00A73480" w:rsidRPr="00DB1A1E">
        <w:rPr>
          <w:rFonts w:ascii="Times New Roman" w:hAnsi="Times New Roman"/>
          <w:szCs w:val="24"/>
        </w:rPr>
        <w:t xml:space="preserve"> (%)</w:t>
      </w:r>
      <w:bookmarkEnd w:id="176"/>
    </w:p>
    <w:tbl>
      <w:tblPr>
        <w:tblW w:w="14560" w:type="dxa"/>
        <w:tblInd w:w="55" w:type="dxa"/>
        <w:tblCellMar>
          <w:left w:w="70" w:type="dxa"/>
          <w:right w:w="70" w:type="dxa"/>
        </w:tblCellMar>
        <w:tblLook w:val="04A0" w:firstRow="1" w:lastRow="0" w:firstColumn="1" w:lastColumn="0" w:noHBand="0" w:noVBand="1"/>
      </w:tblPr>
      <w:tblGrid>
        <w:gridCol w:w="3040"/>
        <w:gridCol w:w="1920"/>
        <w:gridCol w:w="1920"/>
        <w:gridCol w:w="1920"/>
        <w:gridCol w:w="1920"/>
        <w:gridCol w:w="1920"/>
        <w:gridCol w:w="1920"/>
      </w:tblGrid>
      <w:tr w:rsidR="00950BDF" w:rsidRPr="00CA6AE8" w:rsidTr="009B2B6B">
        <w:tc>
          <w:tcPr>
            <w:tcW w:w="3040" w:type="dxa"/>
            <w:tcBorders>
              <w:top w:val="single" w:sz="12" w:space="0" w:color="auto"/>
              <w:left w:val="single" w:sz="12" w:space="0" w:color="auto"/>
              <w:bottom w:val="single" w:sz="12" w:space="0" w:color="auto"/>
              <w:right w:val="single" w:sz="12" w:space="0" w:color="auto"/>
            </w:tcBorders>
            <w:shd w:val="clear" w:color="000000" w:fill="95B3D7"/>
            <w:noWrap/>
            <w:vAlign w:val="bottom"/>
            <w:hideMark/>
          </w:tcPr>
          <w:p w:rsidR="00950BDF" w:rsidRPr="00CA6AE8" w:rsidRDefault="00950BDF" w:rsidP="00E44C19">
            <w:pPr>
              <w:spacing w:after="0" w:line="240" w:lineRule="auto"/>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 </w:t>
            </w:r>
          </w:p>
        </w:tc>
        <w:tc>
          <w:tcPr>
            <w:tcW w:w="1920" w:type="dxa"/>
            <w:tcBorders>
              <w:top w:val="single" w:sz="12" w:space="0" w:color="auto"/>
              <w:left w:val="single" w:sz="12" w:space="0" w:color="auto"/>
              <w:bottom w:val="single" w:sz="12" w:space="0" w:color="auto"/>
              <w:right w:val="single" w:sz="8" w:space="0" w:color="auto"/>
            </w:tcBorders>
            <w:shd w:val="clear" w:color="000000" w:fill="95B3D7"/>
            <w:noWrap/>
            <w:vAlign w:val="center"/>
            <w:hideMark/>
          </w:tcPr>
          <w:p w:rsidR="00950BDF" w:rsidRPr="00CA6AE8" w:rsidRDefault="00950BDF" w:rsidP="00E44C19">
            <w:pPr>
              <w:spacing w:after="0" w:line="240" w:lineRule="auto"/>
              <w:jc w:val="center"/>
              <w:rPr>
                <w:rFonts w:ascii="Times New Roman" w:eastAsia="Times New Roman" w:hAnsi="Times New Roman" w:cs="Times New Roman"/>
                <w:b/>
                <w:bCs/>
                <w:color w:val="000000"/>
                <w:sz w:val="20"/>
                <w:szCs w:val="20"/>
              </w:rPr>
            </w:pPr>
            <w:r w:rsidRPr="00CA6AE8">
              <w:rPr>
                <w:rFonts w:ascii="Times New Roman" w:eastAsia="Times New Roman" w:hAnsi="Times New Roman" w:cs="Times New Roman"/>
                <w:b/>
                <w:bCs/>
                <w:color w:val="000000"/>
                <w:sz w:val="20"/>
                <w:szCs w:val="20"/>
              </w:rPr>
              <w:t>Вариант 1</w:t>
            </w:r>
          </w:p>
        </w:tc>
        <w:tc>
          <w:tcPr>
            <w:tcW w:w="1920" w:type="dxa"/>
            <w:tcBorders>
              <w:top w:val="single" w:sz="12" w:space="0" w:color="auto"/>
              <w:left w:val="nil"/>
              <w:bottom w:val="single" w:sz="12" w:space="0" w:color="auto"/>
              <w:right w:val="single" w:sz="8" w:space="0" w:color="auto"/>
            </w:tcBorders>
            <w:shd w:val="clear" w:color="000000" w:fill="95B3D7"/>
            <w:noWrap/>
            <w:vAlign w:val="center"/>
            <w:hideMark/>
          </w:tcPr>
          <w:p w:rsidR="00950BDF" w:rsidRPr="00CA6AE8" w:rsidRDefault="00950BDF" w:rsidP="00E44C19">
            <w:pPr>
              <w:spacing w:after="0" w:line="240" w:lineRule="auto"/>
              <w:jc w:val="center"/>
              <w:rPr>
                <w:rFonts w:ascii="Times New Roman" w:eastAsia="Times New Roman" w:hAnsi="Times New Roman" w:cs="Times New Roman"/>
                <w:b/>
                <w:bCs/>
                <w:color w:val="000000"/>
                <w:sz w:val="20"/>
                <w:szCs w:val="20"/>
              </w:rPr>
            </w:pPr>
            <w:r w:rsidRPr="00CA6AE8">
              <w:rPr>
                <w:rFonts w:ascii="Times New Roman" w:eastAsia="Times New Roman" w:hAnsi="Times New Roman" w:cs="Times New Roman"/>
                <w:b/>
                <w:bCs/>
                <w:color w:val="000000"/>
                <w:sz w:val="20"/>
                <w:szCs w:val="20"/>
              </w:rPr>
              <w:t>Вариант 2</w:t>
            </w:r>
          </w:p>
        </w:tc>
        <w:tc>
          <w:tcPr>
            <w:tcW w:w="1920" w:type="dxa"/>
            <w:tcBorders>
              <w:top w:val="single" w:sz="12" w:space="0" w:color="auto"/>
              <w:left w:val="nil"/>
              <w:bottom w:val="single" w:sz="12" w:space="0" w:color="auto"/>
              <w:right w:val="single" w:sz="8" w:space="0" w:color="auto"/>
            </w:tcBorders>
            <w:shd w:val="clear" w:color="000000" w:fill="95B3D7"/>
            <w:noWrap/>
            <w:vAlign w:val="center"/>
            <w:hideMark/>
          </w:tcPr>
          <w:p w:rsidR="00950BDF" w:rsidRPr="00CA6AE8" w:rsidRDefault="00950BDF" w:rsidP="00E44C19">
            <w:pPr>
              <w:spacing w:after="0" w:line="240" w:lineRule="auto"/>
              <w:jc w:val="center"/>
              <w:rPr>
                <w:rFonts w:ascii="Times New Roman" w:eastAsia="Times New Roman" w:hAnsi="Times New Roman" w:cs="Times New Roman"/>
                <w:b/>
                <w:bCs/>
                <w:color w:val="000000"/>
                <w:sz w:val="20"/>
                <w:szCs w:val="20"/>
              </w:rPr>
            </w:pPr>
            <w:r w:rsidRPr="00CA6AE8">
              <w:rPr>
                <w:rFonts w:ascii="Times New Roman" w:eastAsia="Times New Roman" w:hAnsi="Times New Roman" w:cs="Times New Roman"/>
                <w:b/>
                <w:bCs/>
                <w:color w:val="000000"/>
                <w:sz w:val="20"/>
                <w:szCs w:val="20"/>
              </w:rPr>
              <w:t>Вариант 3</w:t>
            </w:r>
          </w:p>
        </w:tc>
        <w:tc>
          <w:tcPr>
            <w:tcW w:w="1920" w:type="dxa"/>
            <w:tcBorders>
              <w:top w:val="single" w:sz="12" w:space="0" w:color="auto"/>
              <w:left w:val="nil"/>
              <w:bottom w:val="single" w:sz="12" w:space="0" w:color="auto"/>
              <w:right w:val="single" w:sz="8" w:space="0" w:color="auto"/>
            </w:tcBorders>
            <w:shd w:val="clear" w:color="000000" w:fill="95B3D7"/>
            <w:noWrap/>
            <w:vAlign w:val="center"/>
            <w:hideMark/>
          </w:tcPr>
          <w:p w:rsidR="00950BDF" w:rsidRPr="00CA6AE8" w:rsidRDefault="00950BDF" w:rsidP="00E44C19">
            <w:pPr>
              <w:spacing w:after="0" w:line="240" w:lineRule="auto"/>
              <w:jc w:val="center"/>
              <w:rPr>
                <w:rFonts w:ascii="Times New Roman" w:eastAsia="Times New Roman" w:hAnsi="Times New Roman" w:cs="Times New Roman"/>
                <w:b/>
                <w:bCs/>
                <w:color w:val="000000"/>
                <w:sz w:val="20"/>
                <w:szCs w:val="20"/>
              </w:rPr>
            </w:pPr>
            <w:r w:rsidRPr="00CA6AE8">
              <w:rPr>
                <w:rFonts w:ascii="Times New Roman" w:eastAsia="Times New Roman" w:hAnsi="Times New Roman" w:cs="Times New Roman"/>
                <w:b/>
                <w:bCs/>
                <w:color w:val="000000"/>
                <w:sz w:val="20"/>
                <w:szCs w:val="20"/>
              </w:rPr>
              <w:t>Вариант 4</w:t>
            </w:r>
          </w:p>
        </w:tc>
        <w:tc>
          <w:tcPr>
            <w:tcW w:w="1920" w:type="dxa"/>
            <w:tcBorders>
              <w:top w:val="single" w:sz="12" w:space="0" w:color="auto"/>
              <w:left w:val="nil"/>
              <w:bottom w:val="single" w:sz="12" w:space="0" w:color="auto"/>
              <w:right w:val="single" w:sz="8" w:space="0" w:color="auto"/>
            </w:tcBorders>
            <w:shd w:val="clear" w:color="000000" w:fill="95B3D7"/>
            <w:noWrap/>
            <w:vAlign w:val="center"/>
            <w:hideMark/>
          </w:tcPr>
          <w:p w:rsidR="00950BDF" w:rsidRPr="00CA6AE8" w:rsidRDefault="00950BDF" w:rsidP="00E44C19">
            <w:pPr>
              <w:spacing w:after="0" w:line="240" w:lineRule="auto"/>
              <w:jc w:val="center"/>
              <w:rPr>
                <w:rFonts w:ascii="Times New Roman" w:eastAsia="Times New Roman" w:hAnsi="Times New Roman" w:cs="Times New Roman"/>
                <w:b/>
                <w:bCs/>
                <w:color w:val="000000"/>
                <w:sz w:val="20"/>
                <w:szCs w:val="20"/>
              </w:rPr>
            </w:pPr>
            <w:r w:rsidRPr="00CA6AE8">
              <w:rPr>
                <w:rFonts w:ascii="Times New Roman" w:eastAsia="Times New Roman" w:hAnsi="Times New Roman" w:cs="Times New Roman"/>
                <w:b/>
                <w:bCs/>
                <w:color w:val="000000"/>
                <w:sz w:val="20"/>
                <w:szCs w:val="20"/>
              </w:rPr>
              <w:t>Вариант 5</w:t>
            </w:r>
          </w:p>
        </w:tc>
        <w:tc>
          <w:tcPr>
            <w:tcW w:w="1920" w:type="dxa"/>
            <w:tcBorders>
              <w:top w:val="single" w:sz="12" w:space="0" w:color="auto"/>
              <w:left w:val="nil"/>
              <w:bottom w:val="single" w:sz="12" w:space="0" w:color="auto"/>
              <w:right w:val="single" w:sz="12" w:space="0" w:color="auto"/>
            </w:tcBorders>
            <w:shd w:val="clear" w:color="000000" w:fill="95B3D7"/>
            <w:noWrap/>
            <w:vAlign w:val="center"/>
            <w:hideMark/>
          </w:tcPr>
          <w:p w:rsidR="00950BDF" w:rsidRPr="00CA6AE8" w:rsidRDefault="00950BDF" w:rsidP="00E44C19">
            <w:pPr>
              <w:spacing w:after="0" w:line="240" w:lineRule="auto"/>
              <w:jc w:val="center"/>
              <w:rPr>
                <w:rFonts w:ascii="Times New Roman" w:eastAsia="Times New Roman" w:hAnsi="Times New Roman" w:cs="Times New Roman"/>
                <w:b/>
                <w:bCs/>
                <w:color w:val="000000"/>
                <w:sz w:val="20"/>
                <w:szCs w:val="20"/>
              </w:rPr>
            </w:pPr>
            <w:r w:rsidRPr="00CA6AE8">
              <w:rPr>
                <w:rFonts w:ascii="Times New Roman" w:eastAsia="Times New Roman" w:hAnsi="Times New Roman" w:cs="Times New Roman"/>
                <w:b/>
                <w:bCs/>
                <w:color w:val="000000"/>
                <w:sz w:val="20"/>
                <w:szCs w:val="20"/>
              </w:rPr>
              <w:t>Вариант 6</w:t>
            </w:r>
          </w:p>
        </w:tc>
      </w:tr>
      <w:tr w:rsidR="00950BDF" w:rsidRPr="00CA6AE8" w:rsidTr="00A73480">
        <w:tc>
          <w:tcPr>
            <w:tcW w:w="3040" w:type="dxa"/>
            <w:tcBorders>
              <w:top w:val="single" w:sz="12" w:space="0" w:color="auto"/>
              <w:left w:val="single" w:sz="12" w:space="0" w:color="auto"/>
              <w:bottom w:val="single" w:sz="12" w:space="0" w:color="auto"/>
              <w:right w:val="single" w:sz="12" w:space="0" w:color="auto"/>
            </w:tcBorders>
            <w:shd w:val="clear" w:color="000000" w:fill="EAF1DD"/>
            <w:noWrap/>
            <w:vAlign w:val="center"/>
            <w:hideMark/>
          </w:tcPr>
          <w:p w:rsidR="00950BDF" w:rsidRPr="00CA6AE8" w:rsidRDefault="00950BDF" w:rsidP="00E44C19">
            <w:pPr>
              <w:spacing w:after="0" w:line="240" w:lineRule="auto"/>
              <w:rPr>
                <w:rFonts w:ascii="Times New Roman" w:eastAsia="Times New Roman" w:hAnsi="Times New Roman" w:cs="Times New Roman"/>
                <w:b/>
                <w:bCs/>
                <w:color w:val="000000"/>
                <w:sz w:val="20"/>
                <w:szCs w:val="20"/>
              </w:rPr>
            </w:pPr>
            <w:r w:rsidRPr="00CA6AE8">
              <w:rPr>
                <w:rFonts w:ascii="Times New Roman" w:eastAsia="Times New Roman" w:hAnsi="Times New Roman" w:cs="Times New Roman"/>
                <w:b/>
                <w:bCs/>
                <w:color w:val="000000"/>
                <w:sz w:val="20"/>
                <w:szCs w:val="20"/>
              </w:rPr>
              <w:t>Дисконтова норма</w:t>
            </w:r>
          </w:p>
        </w:tc>
        <w:tc>
          <w:tcPr>
            <w:tcW w:w="1920" w:type="dxa"/>
            <w:tcBorders>
              <w:top w:val="single" w:sz="12" w:space="0" w:color="auto"/>
              <w:left w:val="single" w:sz="12" w:space="0" w:color="auto"/>
              <w:bottom w:val="single" w:sz="12" w:space="0" w:color="auto"/>
              <w:right w:val="single" w:sz="8" w:space="0" w:color="auto"/>
            </w:tcBorders>
            <w:shd w:val="clear" w:color="000000" w:fill="EAF1DD"/>
            <w:noWrap/>
            <w:vAlign w:val="center"/>
            <w:hideMark/>
          </w:tcPr>
          <w:p w:rsidR="00950BDF" w:rsidRPr="00CA6AE8" w:rsidRDefault="00E6666C" w:rsidP="00E44C19">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w:t>
            </w:r>
            <w:r>
              <w:rPr>
                <w:rFonts w:ascii="Times New Roman" w:eastAsia="Times New Roman" w:hAnsi="Times New Roman" w:cs="Times New Roman"/>
                <w:b/>
                <w:bCs/>
                <w:color w:val="000000"/>
                <w:sz w:val="20"/>
                <w:szCs w:val="20"/>
                <w:lang w:val="en-US"/>
              </w:rPr>
              <w:t>,</w:t>
            </w:r>
            <w:r w:rsidR="00A73480">
              <w:rPr>
                <w:rFonts w:ascii="Times New Roman" w:eastAsia="Times New Roman" w:hAnsi="Times New Roman" w:cs="Times New Roman"/>
                <w:b/>
                <w:bCs/>
                <w:color w:val="000000"/>
                <w:sz w:val="20"/>
                <w:szCs w:val="20"/>
              </w:rPr>
              <w:t>14</w:t>
            </w:r>
            <w:r w:rsidR="00267B90">
              <w:rPr>
                <w:rFonts w:ascii="Times New Roman" w:eastAsia="Times New Roman" w:hAnsi="Times New Roman" w:cs="Times New Roman"/>
                <w:b/>
                <w:bCs/>
                <w:color w:val="000000"/>
                <w:sz w:val="20"/>
                <w:szCs w:val="20"/>
              </w:rPr>
              <w:t>%</w:t>
            </w:r>
          </w:p>
        </w:tc>
        <w:tc>
          <w:tcPr>
            <w:tcW w:w="1920" w:type="dxa"/>
            <w:tcBorders>
              <w:top w:val="single" w:sz="12" w:space="0" w:color="auto"/>
              <w:left w:val="nil"/>
              <w:bottom w:val="single" w:sz="12" w:space="0" w:color="auto"/>
              <w:right w:val="single" w:sz="8" w:space="0" w:color="auto"/>
            </w:tcBorders>
            <w:shd w:val="clear" w:color="000000" w:fill="EAF1DD"/>
            <w:noWrap/>
            <w:vAlign w:val="center"/>
            <w:hideMark/>
          </w:tcPr>
          <w:p w:rsidR="00950BDF" w:rsidRPr="00CA6AE8" w:rsidRDefault="00E6666C" w:rsidP="00E44C19">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w:t>
            </w:r>
            <w:r>
              <w:rPr>
                <w:rFonts w:ascii="Times New Roman" w:eastAsia="Times New Roman" w:hAnsi="Times New Roman" w:cs="Times New Roman"/>
                <w:b/>
                <w:bCs/>
                <w:color w:val="000000"/>
                <w:sz w:val="20"/>
                <w:szCs w:val="20"/>
                <w:lang w:val="en-US"/>
              </w:rPr>
              <w:t>,</w:t>
            </w:r>
            <w:r w:rsidR="00A73480">
              <w:rPr>
                <w:rFonts w:ascii="Times New Roman" w:eastAsia="Times New Roman" w:hAnsi="Times New Roman" w:cs="Times New Roman"/>
                <w:b/>
                <w:bCs/>
                <w:color w:val="000000"/>
                <w:sz w:val="20"/>
                <w:szCs w:val="20"/>
              </w:rPr>
              <w:t>85</w:t>
            </w:r>
            <w:r w:rsidR="00267B90">
              <w:rPr>
                <w:rFonts w:ascii="Times New Roman" w:eastAsia="Times New Roman" w:hAnsi="Times New Roman" w:cs="Times New Roman"/>
                <w:b/>
                <w:bCs/>
                <w:color w:val="000000"/>
                <w:sz w:val="20"/>
                <w:szCs w:val="20"/>
              </w:rPr>
              <w:t>%</w:t>
            </w:r>
          </w:p>
        </w:tc>
        <w:tc>
          <w:tcPr>
            <w:tcW w:w="1920" w:type="dxa"/>
            <w:tcBorders>
              <w:top w:val="single" w:sz="12" w:space="0" w:color="auto"/>
              <w:left w:val="nil"/>
              <w:bottom w:val="single" w:sz="12" w:space="0" w:color="auto"/>
              <w:right w:val="single" w:sz="8" w:space="0" w:color="auto"/>
            </w:tcBorders>
            <w:shd w:val="clear" w:color="000000" w:fill="EAF1DD"/>
            <w:noWrap/>
            <w:vAlign w:val="center"/>
            <w:hideMark/>
          </w:tcPr>
          <w:p w:rsidR="00950BDF" w:rsidRPr="00CA6AE8" w:rsidRDefault="00A73480" w:rsidP="00E6666C">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w:t>
            </w:r>
            <w:r w:rsidR="00E6666C">
              <w:rPr>
                <w:rFonts w:ascii="Times New Roman" w:eastAsia="Times New Roman" w:hAnsi="Times New Roman" w:cs="Times New Roman"/>
                <w:b/>
                <w:bCs/>
                <w:color w:val="000000"/>
                <w:sz w:val="20"/>
                <w:szCs w:val="20"/>
                <w:lang w:val="en-US"/>
              </w:rPr>
              <w:t>,</w:t>
            </w:r>
            <w:r>
              <w:rPr>
                <w:rFonts w:ascii="Times New Roman" w:eastAsia="Times New Roman" w:hAnsi="Times New Roman" w:cs="Times New Roman"/>
                <w:b/>
                <w:bCs/>
                <w:color w:val="000000"/>
                <w:sz w:val="20"/>
                <w:szCs w:val="20"/>
              </w:rPr>
              <w:t>56</w:t>
            </w:r>
            <w:r w:rsidR="00267B90">
              <w:rPr>
                <w:rFonts w:ascii="Times New Roman" w:eastAsia="Times New Roman" w:hAnsi="Times New Roman" w:cs="Times New Roman"/>
                <w:b/>
                <w:bCs/>
                <w:color w:val="000000"/>
                <w:sz w:val="20"/>
                <w:szCs w:val="20"/>
              </w:rPr>
              <w:t>%</w:t>
            </w:r>
          </w:p>
        </w:tc>
        <w:tc>
          <w:tcPr>
            <w:tcW w:w="1920" w:type="dxa"/>
            <w:tcBorders>
              <w:top w:val="single" w:sz="12" w:space="0" w:color="auto"/>
              <w:left w:val="nil"/>
              <w:bottom w:val="single" w:sz="12" w:space="0" w:color="auto"/>
              <w:right w:val="single" w:sz="8" w:space="0" w:color="auto"/>
            </w:tcBorders>
            <w:shd w:val="clear" w:color="000000" w:fill="EAF1DD"/>
            <w:noWrap/>
            <w:vAlign w:val="center"/>
            <w:hideMark/>
          </w:tcPr>
          <w:p w:rsidR="00950BDF" w:rsidRPr="00CA6AE8" w:rsidRDefault="00A73480" w:rsidP="00E6666C">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w:t>
            </w:r>
            <w:r w:rsidR="00E6666C">
              <w:rPr>
                <w:rFonts w:ascii="Times New Roman" w:eastAsia="Times New Roman" w:hAnsi="Times New Roman" w:cs="Times New Roman"/>
                <w:b/>
                <w:bCs/>
                <w:color w:val="000000"/>
                <w:sz w:val="20"/>
                <w:szCs w:val="20"/>
                <w:lang w:val="en-US"/>
              </w:rPr>
              <w:t>,</w:t>
            </w:r>
            <w:r>
              <w:rPr>
                <w:rFonts w:ascii="Times New Roman" w:eastAsia="Times New Roman" w:hAnsi="Times New Roman" w:cs="Times New Roman"/>
                <w:b/>
                <w:bCs/>
                <w:color w:val="000000"/>
                <w:sz w:val="20"/>
                <w:szCs w:val="20"/>
              </w:rPr>
              <w:t>14</w:t>
            </w:r>
            <w:r w:rsidR="00267B90">
              <w:rPr>
                <w:rFonts w:ascii="Times New Roman" w:eastAsia="Times New Roman" w:hAnsi="Times New Roman" w:cs="Times New Roman"/>
                <w:b/>
                <w:bCs/>
                <w:color w:val="000000"/>
                <w:sz w:val="20"/>
                <w:szCs w:val="20"/>
              </w:rPr>
              <w:t>%</w:t>
            </w:r>
          </w:p>
        </w:tc>
        <w:tc>
          <w:tcPr>
            <w:tcW w:w="1920" w:type="dxa"/>
            <w:tcBorders>
              <w:top w:val="single" w:sz="12" w:space="0" w:color="auto"/>
              <w:left w:val="nil"/>
              <w:bottom w:val="single" w:sz="12" w:space="0" w:color="auto"/>
              <w:right w:val="single" w:sz="8" w:space="0" w:color="auto"/>
            </w:tcBorders>
            <w:shd w:val="clear" w:color="000000" w:fill="EAF1DD"/>
            <w:noWrap/>
            <w:vAlign w:val="center"/>
            <w:hideMark/>
          </w:tcPr>
          <w:p w:rsidR="00950BDF" w:rsidRPr="00CA6AE8" w:rsidRDefault="00E6666C" w:rsidP="00E44C19">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w:t>
            </w:r>
            <w:r>
              <w:rPr>
                <w:rFonts w:ascii="Times New Roman" w:eastAsia="Times New Roman" w:hAnsi="Times New Roman" w:cs="Times New Roman"/>
                <w:b/>
                <w:bCs/>
                <w:color w:val="000000"/>
                <w:sz w:val="20"/>
                <w:szCs w:val="20"/>
                <w:lang w:val="en-US"/>
              </w:rPr>
              <w:t>,</w:t>
            </w:r>
            <w:r w:rsidR="00A73480">
              <w:rPr>
                <w:rFonts w:ascii="Times New Roman" w:eastAsia="Times New Roman" w:hAnsi="Times New Roman" w:cs="Times New Roman"/>
                <w:b/>
                <w:bCs/>
                <w:color w:val="000000"/>
                <w:sz w:val="20"/>
                <w:szCs w:val="20"/>
              </w:rPr>
              <w:t>85</w:t>
            </w:r>
            <w:r w:rsidR="00267B90">
              <w:rPr>
                <w:rFonts w:ascii="Times New Roman" w:eastAsia="Times New Roman" w:hAnsi="Times New Roman" w:cs="Times New Roman"/>
                <w:b/>
                <w:bCs/>
                <w:color w:val="000000"/>
                <w:sz w:val="20"/>
                <w:szCs w:val="20"/>
              </w:rPr>
              <w:t>%</w:t>
            </w:r>
          </w:p>
        </w:tc>
        <w:tc>
          <w:tcPr>
            <w:tcW w:w="1920" w:type="dxa"/>
            <w:tcBorders>
              <w:top w:val="single" w:sz="12" w:space="0" w:color="auto"/>
              <w:left w:val="nil"/>
              <w:bottom w:val="single" w:sz="12" w:space="0" w:color="auto"/>
              <w:right w:val="single" w:sz="12" w:space="0" w:color="auto"/>
            </w:tcBorders>
            <w:shd w:val="clear" w:color="000000" w:fill="EAF1DD"/>
            <w:noWrap/>
            <w:vAlign w:val="center"/>
            <w:hideMark/>
          </w:tcPr>
          <w:p w:rsidR="00950BDF" w:rsidRPr="00CA6AE8" w:rsidRDefault="00A73480" w:rsidP="00E6666C">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w:t>
            </w:r>
            <w:r w:rsidR="00E6666C">
              <w:rPr>
                <w:rFonts w:ascii="Times New Roman" w:eastAsia="Times New Roman" w:hAnsi="Times New Roman" w:cs="Times New Roman"/>
                <w:b/>
                <w:bCs/>
                <w:color w:val="000000"/>
                <w:sz w:val="20"/>
                <w:szCs w:val="20"/>
                <w:lang w:val="en-US"/>
              </w:rPr>
              <w:t>,</w:t>
            </w:r>
            <w:r>
              <w:rPr>
                <w:rFonts w:ascii="Times New Roman" w:eastAsia="Times New Roman" w:hAnsi="Times New Roman" w:cs="Times New Roman"/>
                <w:b/>
                <w:bCs/>
                <w:color w:val="000000"/>
                <w:sz w:val="20"/>
                <w:szCs w:val="20"/>
              </w:rPr>
              <w:t>56</w:t>
            </w:r>
            <w:r w:rsidR="00267B90">
              <w:rPr>
                <w:rFonts w:ascii="Times New Roman" w:eastAsia="Times New Roman" w:hAnsi="Times New Roman" w:cs="Times New Roman"/>
                <w:b/>
                <w:bCs/>
                <w:color w:val="000000"/>
                <w:sz w:val="20"/>
                <w:szCs w:val="20"/>
              </w:rPr>
              <w:t>%</w:t>
            </w:r>
          </w:p>
        </w:tc>
      </w:tr>
      <w:tr w:rsidR="00267B90" w:rsidRPr="00CA6AE8" w:rsidTr="00A73480">
        <w:tc>
          <w:tcPr>
            <w:tcW w:w="3040" w:type="dxa"/>
            <w:tcBorders>
              <w:top w:val="single" w:sz="12" w:space="0" w:color="auto"/>
              <w:left w:val="single" w:sz="12" w:space="0" w:color="auto"/>
              <w:bottom w:val="single" w:sz="12" w:space="0" w:color="auto"/>
              <w:right w:val="single" w:sz="12" w:space="0" w:color="auto"/>
            </w:tcBorders>
            <w:shd w:val="clear" w:color="000000" w:fill="EAF1DD"/>
            <w:noWrap/>
            <w:vAlign w:val="center"/>
          </w:tcPr>
          <w:p w:rsidR="00267B90" w:rsidRPr="00CA6AE8" w:rsidRDefault="00267B90" w:rsidP="00267B90">
            <w:pPr>
              <w:spacing w:after="0" w:line="240" w:lineRule="auto"/>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Очаквана доходност на капитала на инвеститора (Re)</w:t>
            </w:r>
          </w:p>
        </w:tc>
        <w:tc>
          <w:tcPr>
            <w:tcW w:w="1920" w:type="dxa"/>
            <w:tcBorders>
              <w:top w:val="single" w:sz="12" w:space="0" w:color="auto"/>
              <w:left w:val="single" w:sz="12" w:space="0" w:color="auto"/>
              <w:bottom w:val="single" w:sz="12" w:space="0" w:color="auto"/>
              <w:right w:val="single" w:sz="8" w:space="0" w:color="auto"/>
            </w:tcBorders>
            <w:shd w:val="clear" w:color="000000" w:fill="EAF1DD"/>
            <w:noWrap/>
            <w:vAlign w:val="center"/>
          </w:tcPr>
          <w:p w:rsidR="00267B90" w:rsidRDefault="00267B90" w:rsidP="00E44C19">
            <w:pPr>
              <w:spacing w:after="0" w:line="240" w:lineRule="auto"/>
              <w:jc w:val="right"/>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8,68%</w:t>
            </w:r>
          </w:p>
        </w:tc>
        <w:tc>
          <w:tcPr>
            <w:tcW w:w="1920" w:type="dxa"/>
            <w:tcBorders>
              <w:top w:val="single" w:sz="12" w:space="0" w:color="auto"/>
              <w:left w:val="nil"/>
              <w:bottom w:val="single" w:sz="12" w:space="0" w:color="auto"/>
              <w:right w:val="single" w:sz="8" w:space="0" w:color="auto"/>
            </w:tcBorders>
            <w:shd w:val="clear" w:color="000000" w:fill="EAF1DD"/>
            <w:noWrap/>
            <w:vAlign w:val="center"/>
          </w:tcPr>
          <w:p w:rsidR="00267B90" w:rsidRDefault="00267B90" w:rsidP="00E44C19">
            <w:pPr>
              <w:spacing w:after="0" w:line="240" w:lineRule="auto"/>
              <w:jc w:val="right"/>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8,68%</w:t>
            </w:r>
          </w:p>
        </w:tc>
        <w:tc>
          <w:tcPr>
            <w:tcW w:w="1920" w:type="dxa"/>
            <w:tcBorders>
              <w:top w:val="single" w:sz="12" w:space="0" w:color="auto"/>
              <w:left w:val="nil"/>
              <w:bottom w:val="single" w:sz="12" w:space="0" w:color="auto"/>
              <w:right w:val="single" w:sz="8" w:space="0" w:color="auto"/>
            </w:tcBorders>
            <w:shd w:val="clear" w:color="000000" w:fill="EAF1DD"/>
            <w:noWrap/>
            <w:vAlign w:val="center"/>
          </w:tcPr>
          <w:p w:rsidR="00267B90" w:rsidRDefault="00267B90" w:rsidP="00E44C19">
            <w:pPr>
              <w:spacing w:after="0" w:line="240" w:lineRule="auto"/>
              <w:jc w:val="right"/>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8,68%</w:t>
            </w:r>
          </w:p>
        </w:tc>
        <w:tc>
          <w:tcPr>
            <w:tcW w:w="1920" w:type="dxa"/>
            <w:tcBorders>
              <w:top w:val="single" w:sz="12" w:space="0" w:color="auto"/>
              <w:left w:val="nil"/>
              <w:bottom w:val="single" w:sz="12" w:space="0" w:color="auto"/>
              <w:right w:val="single" w:sz="8" w:space="0" w:color="auto"/>
            </w:tcBorders>
            <w:shd w:val="clear" w:color="000000" w:fill="EAF1DD"/>
            <w:noWrap/>
            <w:vAlign w:val="center"/>
          </w:tcPr>
          <w:p w:rsidR="00267B90" w:rsidRDefault="00267B90" w:rsidP="00E44C19">
            <w:pPr>
              <w:spacing w:after="0" w:line="240" w:lineRule="auto"/>
              <w:jc w:val="right"/>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8,68%</w:t>
            </w:r>
          </w:p>
        </w:tc>
        <w:tc>
          <w:tcPr>
            <w:tcW w:w="1920" w:type="dxa"/>
            <w:tcBorders>
              <w:top w:val="single" w:sz="12" w:space="0" w:color="auto"/>
              <w:left w:val="nil"/>
              <w:bottom w:val="single" w:sz="12" w:space="0" w:color="auto"/>
              <w:right w:val="single" w:sz="8" w:space="0" w:color="auto"/>
            </w:tcBorders>
            <w:shd w:val="clear" w:color="000000" w:fill="EAF1DD"/>
            <w:noWrap/>
            <w:vAlign w:val="center"/>
          </w:tcPr>
          <w:p w:rsidR="00267B90" w:rsidRDefault="00267B90" w:rsidP="00E44C19">
            <w:pPr>
              <w:spacing w:after="0" w:line="240" w:lineRule="auto"/>
              <w:jc w:val="right"/>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6,26%</w:t>
            </w:r>
          </w:p>
        </w:tc>
        <w:tc>
          <w:tcPr>
            <w:tcW w:w="1920" w:type="dxa"/>
            <w:tcBorders>
              <w:top w:val="single" w:sz="12" w:space="0" w:color="auto"/>
              <w:left w:val="nil"/>
              <w:bottom w:val="single" w:sz="12" w:space="0" w:color="auto"/>
              <w:right w:val="single" w:sz="12" w:space="0" w:color="auto"/>
            </w:tcBorders>
            <w:shd w:val="clear" w:color="000000" w:fill="EAF1DD"/>
            <w:noWrap/>
            <w:vAlign w:val="center"/>
          </w:tcPr>
          <w:p w:rsidR="00267B90" w:rsidRDefault="00267B90" w:rsidP="00E44C19">
            <w:pPr>
              <w:spacing w:after="0" w:line="240" w:lineRule="auto"/>
              <w:jc w:val="right"/>
              <w:rPr>
                <w:rFonts w:ascii="Times New Roman" w:eastAsia="Times New Roman" w:hAnsi="Times New Roman" w:cs="Times New Roman"/>
                <w:b/>
                <w:bCs/>
                <w:color w:val="000000"/>
                <w:sz w:val="20"/>
                <w:szCs w:val="20"/>
              </w:rPr>
            </w:pPr>
            <w:r w:rsidRPr="00267B90">
              <w:rPr>
                <w:rFonts w:ascii="Times New Roman" w:eastAsia="Times New Roman" w:hAnsi="Times New Roman" w:cs="Times New Roman"/>
                <w:b/>
                <w:bCs/>
                <w:color w:val="000000"/>
                <w:sz w:val="20"/>
                <w:szCs w:val="20"/>
              </w:rPr>
              <w:t>8,68%</w:t>
            </w:r>
          </w:p>
        </w:tc>
      </w:tr>
      <w:tr w:rsidR="00950BDF" w:rsidRPr="00CA6AE8" w:rsidTr="00A73480">
        <w:tc>
          <w:tcPr>
            <w:tcW w:w="14560" w:type="dxa"/>
            <w:gridSpan w:val="7"/>
            <w:tcBorders>
              <w:top w:val="single" w:sz="12" w:space="0" w:color="auto"/>
              <w:left w:val="single" w:sz="12" w:space="0" w:color="auto"/>
              <w:bottom w:val="single" w:sz="8" w:space="0" w:color="auto"/>
              <w:right w:val="single" w:sz="12" w:space="0" w:color="auto"/>
            </w:tcBorders>
            <w:shd w:val="clear" w:color="000000" w:fill="DBE5F1"/>
            <w:noWrap/>
            <w:vAlign w:val="center"/>
            <w:hideMark/>
          </w:tcPr>
          <w:p w:rsidR="00950BDF" w:rsidRPr="00CA6AE8" w:rsidRDefault="00950BDF" w:rsidP="00E44C19">
            <w:pPr>
              <w:spacing w:after="0" w:line="240" w:lineRule="auto"/>
              <w:rPr>
                <w:rFonts w:ascii="Times New Roman" w:eastAsia="Times New Roman" w:hAnsi="Times New Roman" w:cs="Times New Roman"/>
                <w:b/>
                <w:bCs/>
                <w:color w:val="000000"/>
                <w:sz w:val="20"/>
                <w:szCs w:val="20"/>
              </w:rPr>
            </w:pPr>
            <w:r w:rsidRPr="00CA6AE8">
              <w:rPr>
                <w:rFonts w:ascii="Times New Roman" w:eastAsia="Times New Roman" w:hAnsi="Times New Roman" w:cs="Times New Roman"/>
                <w:b/>
                <w:bCs/>
                <w:color w:val="000000"/>
                <w:sz w:val="20"/>
                <w:szCs w:val="20"/>
              </w:rPr>
              <w:t xml:space="preserve">Цена на вътрешен пазар </w:t>
            </w:r>
            <w:r w:rsidR="00A73480">
              <w:rPr>
                <w:rFonts w:ascii="Times New Roman" w:eastAsia="Times New Roman" w:hAnsi="Times New Roman" w:cs="Times New Roman"/>
                <w:b/>
                <w:bCs/>
                <w:color w:val="000000"/>
                <w:sz w:val="20"/>
                <w:szCs w:val="20"/>
              </w:rPr>
              <w:t>–</w:t>
            </w:r>
            <w:r w:rsidRPr="00CA6AE8">
              <w:rPr>
                <w:rFonts w:ascii="Times New Roman" w:eastAsia="Times New Roman" w:hAnsi="Times New Roman" w:cs="Times New Roman"/>
                <w:b/>
                <w:bCs/>
                <w:color w:val="000000"/>
                <w:sz w:val="20"/>
                <w:szCs w:val="20"/>
              </w:rPr>
              <w:t xml:space="preserve"> максимален сценарий/Ниво на натоварване на мощностите </w:t>
            </w:r>
            <w:r w:rsidR="00A73480">
              <w:rPr>
                <w:rFonts w:ascii="Times New Roman" w:eastAsia="Times New Roman" w:hAnsi="Times New Roman" w:cs="Times New Roman"/>
                <w:b/>
                <w:bCs/>
                <w:color w:val="000000"/>
                <w:sz w:val="20"/>
                <w:szCs w:val="20"/>
              </w:rPr>
              <w:t>–</w:t>
            </w:r>
            <w:r w:rsidRPr="00CA6AE8">
              <w:rPr>
                <w:rFonts w:ascii="Times New Roman" w:eastAsia="Times New Roman" w:hAnsi="Times New Roman" w:cs="Times New Roman"/>
                <w:b/>
                <w:bCs/>
                <w:color w:val="000000"/>
                <w:sz w:val="20"/>
                <w:szCs w:val="20"/>
              </w:rPr>
              <w:t xml:space="preserve"> 100%</w:t>
            </w:r>
          </w:p>
        </w:tc>
      </w:tr>
      <w:tr w:rsidR="00FC0793" w:rsidRPr="00CA6AE8" w:rsidTr="00267B90">
        <w:tc>
          <w:tcPr>
            <w:tcW w:w="3040" w:type="dxa"/>
            <w:tcBorders>
              <w:top w:val="nil"/>
              <w:left w:val="single" w:sz="12" w:space="0" w:color="auto"/>
              <w:bottom w:val="single" w:sz="8" w:space="0" w:color="auto"/>
              <w:right w:val="single" w:sz="12" w:space="0" w:color="auto"/>
            </w:tcBorders>
            <w:shd w:val="clear" w:color="000000" w:fill="FFFFFF"/>
            <w:noWrap/>
            <w:vAlign w:val="center"/>
            <w:hideMark/>
          </w:tcPr>
          <w:p w:rsidR="00FC0793" w:rsidRPr="00CA6AE8" w:rsidRDefault="00FC0793" w:rsidP="00E44C19">
            <w:pPr>
              <w:spacing w:after="0" w:line="240" w:lineRule="auto"/>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IRR</w:t>
            </w:r>
            <w:r>
              <w:rPr>
                <w:rFonts w:ascii="Times New Roman" w:eastAsia="Times New Roman" w:hAnsi="Times New Roman" w:cs="Times New Roman"/>
                <w:color w:val="000000"/>
                <w:sz w:val="20"/>
                <w:szCs w:val="20"/>
              </w:rPr>
              <w:t xml:space="preserve"> – </w:t>
            </w:r>
            <w:r w:rsidRPr="00CA6AE8">
              <w:rPr>
                <w:rFonts w:ascii="Times New Roman" w:eastAsia="Times New Roman" w:hAnsi="Times New Roman" w:cs="Times New Roman"/>
                <w:color w:val="000000"/>
                <w:sz w:val="20"/>
                <w:szCs w:val="20"/>
              </w:rPr>
              <w:t>частен инвеститор</w:t>
            </w:r>
          </w:p>
        </w:tc>
        <w:tc>
          <w:tcPr>
            <w:tcW w:w="1920" w:type="dxa"/>
            <w:tcBorders>
              <w:top w:val="nil"/>
              <w:left w:val="single" w:sz="12" w:space="0" w:color="auto"/>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5,05%</w:t>
            </w:r>
          </w:p>
        </w:tc>
        <w:tc>
          <w:tcPr>
            <w:tcW w:w="1920" w:type="dxa"/>
            <w:tcBorders>
              <w:top w:val="nil"/>
              <w:left w:val="nil"/>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5,20%</w:t>
            </w:r>
          </w:p>
        </w:tc>
        <w:tc>
          <w:tcPr>
            <w:tcW w:w="1920" w:type="dxa"/>
            <w:tcBorders>
              <w:top w:val="nil"/>
              <w:left w:val="nil"/>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5,64%</w:t>
            </w:r>
          </w:p>
        </w:tc>
        <w:tc>
          <w:tcPr>
            <w:tcW w:w="1920" w:type="dxa"/>
            <w:tcBorders>
              <w:top w:val="nil"/>
              <w:left w:val="nil"/>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5,27%</w:t>
            </w:r>
          </w:p>
        </w:tc>
        <w:tc>
          <w:tcPr>
            <w:tcW w:w="1920" w:type="dxa"/>
            <w:tcBorders>
              <w:top w:val="nil"/>
              <w:left w:val="nil"/>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5,45%</w:t>
            </w:r>
          </w:p>
        </w:tc>
        <w:tc>
          <w:tcPr>
            <w:tcW w:w="1920" w:type="dxa"/>
            <w:tcBorders>
              <w:top w:val="nil"/>
              <w:left w:val="nil"/>
              <w:bottom w:val="single" w:sz="8" w:space="0" w:color="auto"/>
              <w:right w:val="single" w:sz="12"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b/>
                <w:color w:val="000000"/>
                <w:sz w:val="20"/>
                <w:szCs w:val="20"/>
              </w:rPr>
            </w:pPr>
            <w:r w:rsidRPr="00FC0793">
              <w:rPr>
                <w:rFonts w:ascii="Times New Roman" w:hAnsi="Times New Roman" w:cs="Times New Roman"/>
                <w:color w:val="000000"/>
                <w:sz w:val="20"/>
                <w:szCs w:val="20"/>
              </w:rPr>
              <w:t>5,98%</w:t>
            </w:r>
          </w:p>
        </w:tc>
      </w:tr>
      <w:tr w:rsidR="00FC0793" w:rsidRPr="00CA6AE8" w:rsidTr="00267B90">
        <w:tc>
          <w:tcPr>
            <w:tcW w:w="3040" w:type="dxa"/>
            <w:tcBorders>
              <w:top w:val="nil"/>
              <w:left w:val="single" w:sz="12" w:space="0" w:color="auto"/>
              <w:bottom w:val="single" w:sz="12" w:space="0" w:color="auto"/>
              <w:right w:val="single" w:sz="12" w:space="0" w:color="auto"/>
            </w:tcBorders>
            <w:shd w:val="clear" w:color="000000" w:fill="FFFFFF"/>
            <w:noWrap/>
            <w:vAlign w:val="center"/>
            <w:hideMark/>
          </w:tcPr>
          <w:p w:rsidR="00FC0793" w:rsidRPr="00CA6AE8" w:rsidRDefault="00FC0793" w:rsidP="00E44C19">
            <w:pPr>
              <w:spacing w:after="0" w:line="240" w:lineRule="auto"/>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IRR</w:t>
            </w:r>
            <w:r>
              <w:rPr>
                <w:rFonts w:ascii="Times New Roman" w:eastAsia="Times New Roman" w:hAnsi="Times New Roman" w:cs="Times New Roman"/>
                <w:color w:val="000000"/>
                <w:sz w:val="20"/>
                <w:szCs w:val="20"/>
              </w:rPr>
              <w:t xml:space="preserve"> – </w:t>
            </w:r>
            <w:r w:rsidRPr="00CA6AE8">
              <w:rPr>
                <w:rFonts w:ascii="Times New Roman" w:eastAsia="Times New Roman" w:hAnsi="Times New Roman" w:cs="Times New Roman"/>
                <w:color w:val="000000"/>
                <w:sz w:val="20"/>
                <w:szCs w:val="20"/>
              </w:rPr>
              <w:t>държава</w:t>
            </w:r>
          </w:p>
        </w:tc>
        <w:tc>
          <w:tcPr>
            <w:tcW w:w="1920" w:type="dxa"/>
            <w:tcBorders>
              <w:top w:val="nil"/>
              <w:left w:val="single" w:sz="12" w:space="0" w:color="auto"/>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w:t>
            </w:r>
          </w:p>
        </w:tc>
        <w:tc>
          <w:tcPr>
            <w:tcW w:w="1920" w:type="dxa"/>
            <w:tcBorders>
              <w:top w:val="nil"/>
              <w:left w:val="nil"/>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w:t>
            </w:r>
          </w:p>
        </w:tc>
        <w:tc>
          <w:tcPr>
            <w:tcW w:w="1920" w:type="dxa"/>
            <w:tcBorders>
              <w:top w:val="nil"/>
              <w:left w:val="nil"/>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w:t>
            </w:r>
          </w:p>
        </w:tc>
        <w:tc>
          <w:tcPr>
            <w:tcW w:w="1920" w:type="dxa"/>
            <w:tcBorders>
              <w:top w:val="nil"/>
              <w:left w:val="nil"/>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4,51%</w:t>
            </w:r>
          </w:p>
        </w:tc>
        <w:tc>
          <w:tcPr>
            <w:tcW w:w="1920" w:type="dxa"/>
            <w:tcBorders>
              <w:top w:val="nil"/>
              <w:left w:val="nil"/>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4,72%</w:t>
            </w:r>
          </w:p>
        </w:tc>
        <w:tc>
          <w:tcPr>
            <w:tcW w:w="1920" w:type="dxa"/>
            <w:tcBorders>
              <w:top w:val="nil"/>
              <w:left w:val="nil"/>
              <w:bottom w:val="single" w:sz="12" w:space="0" w:color="auto"/>
              <w:right w:val="single" w:sz="12"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5,20%</w:t>
            </w:r>
          </w:p>
        </w:tc>
      </w:tr>
      <w:tr w:rsidR="00950BDF" w:rsidRPr="00CA6AE8" w:rsidTr="00A73480">
        <w:tc>
          <w:tcPr>
            <w:tcW w:w="14560" w:type="dxa"/>
            <w:gridSpan w:val="7"/>
            <w:tcBorders>
              <w:top w:val="single" w:sz="12" w:space="0" w:color="auto"/>
              <w:left w:val="single" w:sz="12" w:space="0" w:color="auto"/>
              <w:bottom w:val="single" w:sz="8" w:space="0" w:color="auto"/>
              <w:right w:val="single" w:sz="12" w:space="0" w:color="auto"/>
            </w:tcBorders>
            <w:shd w:val="clear" w:color="000000" w:fill="DBE5F1"/>
            <w:noWrap/>
            <w:vAlign w:val="center"/>
            <w:hideMark/>
          </w:tcPr>
          <w:p w:rsidR="00950BDF" w:rsidRPr="00FC0793" w:rsidRDefault="00950BDF" w:rsidP="00E44C19">
            <w:pPr>
              <w:spacing w:after="0" w:line="240" w:lineRule="auto"/>
              <w:rPr>
                <w:rFonts w:ascii="Times New Roman" w:eastAsia="Times New Roman" w:hAnsi="Times New Roman" w:cs="Times New Roman"/>
                <w:b/>
                <w:bCs/>
                <w:color w:val="000000"/>
                <w:sz w:val="20"/>
                <w:szCs w:val="20"/>
              </w:rPr>
            </w:pPr>
            <w:r w:rsidRPr="00FC0793">
              <w:rPr>
                <w:rFonts w:ascii="Times New Roman" w:eastAsia="Times New Roman" w:hAnsi="Times New Roman" w:cs="Times New Roman"/>
                <w:b/>
                <w:bCs/>
                <w:color w:val="000000"/>
                <w:sz w:val="20"/>
                <w:szCs w:val="20"/>
              </w:rPr>
              <w:t xml:space="preserve">Цена на вътрешен пазар </w:t>
            </w:r>
            <w:r w:rsidR="00A73480" w:rsidRPr="00FC0793">
              <w:rPr>
                <w:rFonts w:ascii="Times New Roman" w:eastAsia="Times New Roman" w:hAnsi="Times New Roman" w:cs="Times New Roman"/>
                <w:b/>
                <w:bCs/>
                <w:color w:val="000000"/>
                <w:sz w:val="20"/>
                <w:szCs w:val="20"/>
              </w:rPr>
              <w:t>–</w:t>
            </w:r>
            <w:r w:rsidRPr="00FC0793">
              <w:rPr>
                <w:rFonts w:ascii="Times New Roman" w:eastAsia="Times New Roman" w:hAnsi="Times New Roman" w:cs="Times New Roman"/>
                <w:b/>
                <w:bCs/>
                <w:color w:val="000000"/>
                <w:sz w:val="20"/>
                <w:szCs w:val="20"/>
              </w:rPr>
              <w:t xml:space="preserve"> минимален сценарий/Ниво на натоварване на мощностите </w:t>
            </w:r>
            <w:r w:rsidR="00A73480" w:rsidRPr="00FC0793">
              <w:rPr>
                <w:rFonts w:ascii="Times New Roman" w:eastAsia="Times New Roman" w:hAnsi="Times New Roman" w:cs="Times New Roman"/>
                <w:b/>
                <w:bCs/>
                <w:color w:val="000000"/>
                <w:sz w:val="20"/>
                <w:szCs w:val="20"/>
              </w:rPr>
              <w:t>–</w:t>
            </w:r>
            <w:r w:rsidRPr="00FC0793">
              <w:rPr>
                <w:rFonts w:ascii="Times New Roman" w:eastAsia="Times New Roman" w:hAnsi="Times New Roman" w:cs="Times New Roman"/>
                <w:b/>
                <w:bCs/>
                <w:color w:val="000000"/>
                <w:sz w:val="20"/>
                <w:szCs w:val="20"/>
              </w:rPr>
              <w:t xml:space="preserve"> 100%</w:t>
            </w:r>
          </w:p>
        </w:tc>
      </w:tr>
      <w:tr w:rsidR="00FC0793" w:rsidRPr="00CA6AE8" w:rsidTr="00267B90">
        <w:tc>
          <w:tcPr>
            <w:tcW w:w="3040" w:type="dxa"/>
            <w:tcBorders>
              <w:top w:val="nil"/>
              <w:left w:val="single" w:sz="12" w:space="0" w:color="auto"/>
              <w:bottom w:val="single" w:sz="8" w:space="0" w:color="auto"/>
              <w:right w:val="single" w:sz="12" w:space="0" w:color="auto"/>
            </w:tcBorders>
            <w:shd w:val="clear" w:color="000000" w:fill="FFFFFF"/>
            <w:noWrap/>
            <w:vAlign w:val="center"/>
            <w:hideMark/>
          </w:tcPr>
          <w:p w:rsidR="00FC0793" w:rsidRPr="00CA6AE8" w:rsidRDefault="00FC0793" w:rsidP="00E0790B">
            <w:pPr>
              <w:spacing w:after="0" w:line="240" w:lineRule="auto"/>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IRR</w:t>
            </w:r>
            <w:r>
              <w:rPr>
                <w:rFonts w:ascii="Times New Roman" w:eastAsia="Times New Roman" w:hAnsi="Times New Roman" w:cs="Times New Roman"/>
                <w:color w:val="000000"/>
                <w:sz w:val="20"/>
                <w:szCs w:val="20"/>
              </w:rPr>
              <w:t xml:space="preserve"> – </w:t>
            </w:r>
            <w:r w:rsidRPr="00CA6AE8">
              <w:rPr>
                <w:rFonts w:ascii="Times New Roman" w:eastAsia="Times New Roman" w:hAnsi="Times New Roman" w:cs="Times New Roman"/>
                <w:color w:val="000000"/>
                <w:sz w:val="20"/>
                <w:szCs w:val="20"/>
              </w:rPr>
              <w:t>частен инвеститор</w:t>
            </w:r>
          </w:p>
        </w:tc>
        <w:tc>
          <w:tcPr>
            <w:tcW w:w="1920" w:type="dxa"/>
            <w:tcBorders>
              <w:top w:val="nil"/>
              <w:left w:val="single" w:sz="12" w:space="0" w:color="auto"/>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2,68%</w:t>
            </w:r>
          </w:p>
        </w:tc>
        <w:tc>
          <w:tcPr>
            <w:tcW w:w="1920" w:type="dxa"/>
            <w:tcBorders>
              <w:top w:val="nil"/>
              <w:left w:val="nil"/>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3,04%</w:t>
            </w:r>
          </w:p>
        </w:tc>
        <w:tc>
          <w:tcPr>
            <w:tcW w:w="1920" w:type="dxa"/>
            <w:tcBorders>
              <w:top w:val="nil"/>
              <w:left w:val="nil"/>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3,62%</w:t>
            </w:r>
          </w:p>
        </w:tc>
        <w:tc>
          <w:tcPr>
            <w:tcW w:w="1920" w:type="dxa"/>
            <w:tcBorders>
              <w:top w:val="nil"/>
              <w:left w:val="nil"/>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2,76%</w:t>
            </w:r>
          </w:p>
        </w:tc>
        <w:tc>
          <w:tcPr>
            <w:tcW w:w="1920" w:type="dxa"/>
            <w:tcBorders>
              <w:top w:val="nil"/>
              <w:left w:val="nil"/>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3,16%</w:t>
            </w:r>
          </w:p>
        </w:tc>
        <w:tc>
          <w:tcPr>
            <w:tcW w:w="1920" w:type="dxa"/>
            <w:tcBorders>
              <w:top w:val="nil"/>
              <w:left w:val="nil"/>
              <w:bottom w:val="single" w:sz="8" w:space="0" w:color="auto"/>
              <w:right w:val="single" w:sz="12"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3,81%</w:t>
            </w:r>
          </w:p>
        </w:tc>
      </w:tr>
      <w:tr w:rsidR="00FC0793" w:rsidRPr="00CA6AE8" w:rsidTr="00267B90">
        <w:tc>
          <w:tcPr>
            <w:tcW w:w="3040" w:type="dxa"/>
            <w:tcBorders>
              <w:top w:val="nil"/>
              <w:left w:val="single" w:sz="12" w:space="0" w:color="auto"/>
              <w:bottom w:val="single" w:sz="12" w:space="0" w:color="auto"/>
              <w:right w:val="single" w:sz="12" w:space="0" w:color="auto"/>
            </w:tcBorders>
            <w:shd w:val="clear" w:color="000000" w:fill="FFFFFF"/>
            <w:noWrap/>
            <w:vAlign w:val="center"/>
            <w:hideMark/>
          </w:tcPr>
          <w:p w:rsidR="00FC0793" w:rsidRPr="00CA6AE8" w:rsidRDefault="00FC0793" w:rsidP="00E0790B">
            <w:pPr>
              <w:spacing w:after="0" w:line="240" w:lineRule="auto"/>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IRR</w:t>
            </w:r>
            <w:r>
              <w:rPr>
                <w:rFonts w:ascii="Times New Roman" w:eastAsia="Times New Roman" w:hAnsi="Times New Roman" w:cs="Times New Roman"/>
                <w:color w:val="000000"/>
                <w:sz w:val="20"/>
                <w:szCs w:val="20"/>
              </w:rPr>
              <w:t xml:space="preserve"> – </w:t>
            </w:r>
            <w:r w:rsidRPr="00CA6AE8">
              <w:rPr>
                <w:rFonts w:ascii="Times New Roman" w:eastAsia="Times New Roman" w:hAnsi="Times New Roman" w:cs="Times New Roman"/>
                <w:color w:val="000000"/>
                <w:sz w:val="20"/>
                <w:szCs w:val="20"/>
              </w:rPr>
              <w:t>държава</w:t>
            </w:r>
          </w:p>
        </w:tc>
        <w:tc>
          <w:tcPr>
            <w:tcW w:w="1920" w:type="dxa"/>
            <w:tcBorders>
              <w:top w:val="nil"/>
              <w:left w:val="single" w:sz="12" w:space="0" w:color="auto"/>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w:t>
            </w:r>
          </w:p>
        </w:tc>
        <w:tc>
          <w:tcPr>
            <w:tcW w:w="1920" w:type="dxa"/>
            <w:tcBorders>
              <w:top w:val="nil"/>
              <w:left w:val="nil"/>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w:t>
            </w:r>
          </w:p>
        </w:tc>
        <w:tc>
          <w:tcPr>
            <w:tcW w:w="1920" w:type="dxa"/>
            <w:tcBorders>
              <w:top w:val="nil"/>
              <w:left w:val="nil"/>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w:t>
            </w:r>
          </w:p>
        </w:tc>
        <w:tc>
          <w:tcPr>
            <w:tcW w:w="1920" w:type="dxa"/>
            <w:tcBorders>
              <w:top w:val="nil"/>
              <w:left w:val="nil"/>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2,44%</w:t>
            </w:r>
          </w:p>
        </w:tc>
        <w:tc>
          <w:tcPr>
            <w:tcW w:w="1920" w:type="dxa"/>
            <w:tcBorders>
              <w:top w:val="nil"/>
              <w:left w:val="nil"/>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2,79%</w:t>
            </w:r>
          </w:p>
        </w:tc>
        <w:tc>
          <w:tcPr>
            <w:tcW w:w="1920" w:type="dxa"/>
            <w:tcBorders>
              <w:top w:val="nil"/>
              <w:left w:val="nil"/>
              <w:bottom w:val="single" w:sz="12" w:space="0" w:color="auto"/>
              <w:right w:val="single" w:sz="12"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3,37%</w:t>
            </w:r>
          </w:p>
        </w:tc>
      </w:tr>
      <w:tr w:rsidR="00950BDF" w:rsidRPr="00CA6AE8" w:rsidTr="00A73480">
        <w:tc>
          <w:tcPr>
            <w:tcW w:w="14560" w:type="dxa"/>
            <w:gridSpan w:val="7"/>
            <w:tcBorders>
              <w:top w:val="single" w:sz="12" w:space="0" w:color="auto"/>
              <w:left w:val="single" w:sz="12" w:space="0" w:color="auto"/>
              <w:bottom w:val="single" w:sz="8" w:space="0" w:color="auto"/>
              <w:right w:val="single" w:sz="12" w:space="0" w:color="auto"/>
            </w:tcBorders>
            <w:shd w:val="clear" w:color="000000" w:fill="DBE5F1"/>
            <w:noWrap/>
            <w:vAlign w:val="center"/>
            <w:hideMark/>
          </w:tcPr>
          <w:p w:rsidR="00950BDF" w:rsidRPr="00FC0793" w:rsidRDefault="00950BDF" w:rsidP="00E44C19">
            <w:pPr>
              <w:spacing w:after="0" w:line="240" w:lineRule="auto"/>
              <w:rPr>
                <w:rFonts w:ascii="Times New Roman" w:eastAsia="Times New Roman" w:hAnsi="Times New Roman" w:cs="Times New Roman"/>
                <w:b/>
                <w:bCs/>
                <w:color w:val="000000"/>
                <w:sz w:val="20"/>
                <w:szCs w:val="20"/>
              </w:rPr>
            </w:pPr>
            <w:r w:rsidRPr="00FC0793">
              <w:rPr>
                <w:rFonts w:ascii="Times New Roman" w:eastAsia="Times New Roman" w:hAnsi="Times New Roman" w:cs="Times New Roman"/>
                <w:b/>
                <w:bCs/>
                <w:color w:val="000000"/>
                <w:sz w:val="20"/>
                <w:szCs w:val="20"/>
              </w:rPr>
              <w:t xml:space="preserve">Цена на вътрешен пазар </w:t>
            </w:r>
            <w:r w:rsidR="00A73480" w:rsidRPr="00FC0793">
              <w:rPr>
                <w:rFonts w:ascii="Times New Roman" w:eastAsia="Times New Roman" w:hAnsi="Times New Roman" w:cs="Times New Roman"/>
                <w:b/>
                <w:bCs/>
                <w:color w:val="000000"/>
                <w:sz w:val="20"/>
                <w:szCs w:val="20"/>
              </w:rPr>
              <w:t>–</w:t>
            </w:r>
            <w:r w:rsidRPr="00FC0793">
              <w:rPr>
                <w:rFonts w:ascii="Times New Roman" w:eastAsia="Times New Roman" w:hAnsi="Times New Roman" w:cs="Times New Roman"/>
                <w:b/>
                <w:bCs/>
                <w:color w:val="000000"/>
                <w:sz w:val="20"/>
                <w:szCs w:val="20"/>
              </w:rPr>
              <w:t xml:space="preserve"> среден сценарий/Ниво на натоварване на мощностите </w:t>
            </w:r>
            <w:r w:rsidR="00A73480" w:rsidRPr="00FC0793">
              <w:rPr>
                <w:rFonts w:ascii="Times New Roman" w:eastAsia="Times New Roman" w:hAnsi="Times New Roman" w:cs="Times New Roman"/>
                <w:b/>
                <w:bCs/>
                <w:color w:val="000000"/>
                <w:sz w:val="20"/>
                <w:szCs w:val="20"/>
              </w:rPr>
              <w:t>–</w:t>
            </w:r>
            <w:r w:rsidRPr="00FC0793">
              <w:rPr>
                <w:rFonts w:ascii="Times New Roman" w:eastAsia="Times New Roman" w:hAnsi="Times New Roman" w:cs="Times New Roman"/>
                <w:b/>
                <w:bCs/>
                <w:color w:val="000000"/>
                <w:sz w:val="20"/>
                <w:szCs w:val="20"/>
              </w:rPr>
              <w:t xml:space="preserve"> 100%</w:t>
            </w:r>
          </w:p>
        </w:tc>
      </w:tr>
      <w:tr w:rsidR="00FC0793" w:rsidRPr="00CA6AE8" w:rsidTr="00267B90">
        <w:tc>
          <w:tcPr>
            <w:tcW w:w="3040" w:type="dxa"/>
            <w:tcBorders>
              <w:top w:val="nil"/>
              <w:left w:val="single" w:sz="12" w:space="0" w:color="auto"/>
              <w:bottom w:val="single" w:sz="8" w:space="0" w:color="auto"/>
              <w:right w:val="single" w:sz="12" w:space="0" w:color="auto"/>
            </w:tcBorders>
            <w:shd w:val="clear" w:color="000000" w:fill="FFFFFF"/>
            <w:noWrap/>
            <w:vAlign w:val="center"/>
            <w:hideMark/>
          </w:tcPr>
          <w:p w:rsidR="00FC0793" w:rsidRPr="00CA6AE8" w:rsidRDefault="00FC0793" w:rsidP="00E0790B">
            <w:pPr>
              <w:spacing w:after="0" w:line="240" w:lineRule="auto"/>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IRR</w:t>
            </w:r>
            <w:r>
              <w:rPr>
                <w:rFonts w:ascii="Times New Roman" w:eastAsia="Times New Roman" w:hAnsi="Times New Roman" w:cs="Times New Roman"/>
                <w:color w:val="000000"/>
                <w:sz w:val="20"/>
                <w:szCs w:val="20"/>
              </w:rPr>
              <w:t xml:space="preserve"> – </w:t>
            </w:r>
            <w:r w:rsidRPr="00CA6AE8">
              <w:rPr>
                <w:rFonts w:ascii="Times New Roman" w:eastAsia="Times New Roman" w:hAnsi="Times New Roman" w:cs="Times New Roman"/>
                <w:color w:val="000000"/>
                <w:sz w:val="20"/>
                <w:szCs w:val="20"/>
              </w:rPr>
              <w:t>частен инвеститор</w:t>
            </w:r>
          </w:p>
        </w:tc>
        <w:tc>
          <w:tcPr>
            <w:tcW w:w="1920" w:type="dxa"/>
            <w:tcBorders>
              <w:top w:val="nil"/>
              <w:left w:val="single" w:sz="12" w:space="0" w:color="auto"/>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3,91%</w:t>
            </w:r>
          </w:p>
        </w:tc>
        <w:tc>
          <w:tcPr>
            <w:tcW w:w="1920" w:type="dxa"/>
            <w:tcBorders>
              <w:top w:val="nil"/>
              <w:left w:val="nil"/>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4,16%</w:t>
            </w:r>
          </w:p>
        </w:tc>
        <w:tc>
          <w:tcPr>
            <w:tcW w:w="1920" w:type="dxa"/>
            <w:tcBorders>
              <w:top w:val="nil"/>
              <w:left w:val="nil"/>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4,67%</w:t>
            </w:r>
          </w:p>
        </w:tc>
        <w:tc>
          <w:tcPr>
            <w:tcW w:w="1920" w:type="dxa"/>
            <w:tcBorders>
              <w:top w:val="nil"/>
              <w:left w:val="nil"/>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4,05%</w:t>
            </w:r>
          </w:p>
        </w:tc>
        <w:tc>
          <w:tcPr>
            <w:tcW w:w="1920" w:type="dxa"/>
            <w:tcBorders>
              <w:top w:val="nil"/>
              <w:left w:val="nil"/>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4,34%</w:t>
            </w:r>
          </w:p>
        </w:tc>
        <w:tc>
          <w:tcPr>
            <w:tcW w:w="1920" w:type="dxa"/>
            <w:tcBorders>
              <w:top w:val="nil"/>
              <w:left w:val="nil"/>
              <w:bottom w:val="single" w:sz="8" w:space="0" w:color="auto"/>
              <w:right w:val="single" w:sz="12"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4,92%</w:t>
            </w:r>
          </w:p>
        </w:tc>
      </w:tr>
      <w:tr w:rsidR="00FC0793" w:rsidRPr="00CA6AE8" w:rsidTr="00267B90">
        <w:tc>
          <w:tcPr>
            <w:tcW w:w="3040" w:type="dxa"/>
            <w:tcBorders>
              <w:top w:val="nil"/>
              <w:left w:val="single" w:sz="12" w:space="0" w:color="auto"/>
              <w:bottom w:val="single" w:sz="12" w:space="0" w:color="auto"/>
              <w:right w:val="single" w:sz="12" w:space="0" w:color="auto"/>
            </w:tcBorders>
            <w:shd w:val="clear" w:color="000000" w:fill="FFFFFF"/>
            <w:noWrap/>
            <w:vAlign w:val="center"/>
            <w:hideMark/>
          </w:tcPr>
          <w:p w:rsidR="00FC0793" w:rsidRPr="00CA6AE8" w:rsidRDefault="00FC0793" w:rsidP="00E0790B">
            <w:pPr>
              <w:spacing w:after="0" w:line="240" w:lineRule="auto"/>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IRR</w:t>
            </w:r>
            <w:r>
              <w:rPr>
                <w:rFonts w:ascii="Times New Roman" w:eastAsia="Times New Roman" w:hAnsi="Times New Roman" w:cs="Times New Roman"/>
                <w:color w:val="000000"/>
                <w:sz w:val="20"/>
                <w:szCs w:val="20"/>
              </w:rPr>
              <w:t xml:space="preserve"> – </w:t>
            </w:r>
            <w:r w:rsidRPr="00CA6AE8">
              <w:rPr>
                <w:rFonts w:ascii="Times New Roman" w:eastAsia="Times New Roman" w:hAnsi="Times New Roman" w:cs="Times New Roman"/>
                <w:color w:val="000000"/>
                <w:sz w:val="20"/>
                <w:szCs w:val="20"/>
              </w:rPr>
              <w:t>държава</w:t>
            </w:r>
          </w:p>
        </w:tc>
        <w:tc>
          <w:tcPr>
            <w:tcW w:w="1920" w:type="dxa"/>
            <w:tcBorders>
              <w:top w:val="nil"/>
              <w:left w:val="single" w:sz="12" w:space="0" w:color="auto"/>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w:t>
            </w:r>
          </w:p>
        </w:tc>
        <w:tc>
          <w:tcPr>
            <w:tcW w:w="1920" w:type="dxa"/>
            <w:tcBorders>
              <w:top w:val="nil"/>
              <w:left w:val="nil"/>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w:t>
            </w:r>
          </w:p>
        </w:tc>
        <w:tc>
          <w:tcPr>
            <w:tcW w:w="1920" w:type="dxa"/>
            <w:tcBorders>
              <w:top w:val="nil"/>
              <w:left w:val="nil"/>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w:t>
            </w:r>
          </w:p>
        </w:tc>
        <w:tc>
          <w:tcPr>
            <w:tcW w:w="1920" w:type="dxa"/>
            <w:tcBorders>
              <w:top w:val="nil"/>
              <w:left w:val="nil"/>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3,53%</w:t>
            </w:r>
          </w:p>
        </w:tc>
        <w:tc>
          <w:tcPr>
            <w:tcW w:w="1920" w:type="dxa"/>
            <w:tcBorders>
              <w:top w:val="nil"/>
              <w:left w:val="nil"/>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3,81%</w:t>
            </w:r>
          </w:p>
        </w:tc>
        <w:tc>
          <w:tcPr>
            <w:tcW w:w="1920" w:type="dxa"/>
            <w:tcBorders>
              <w:top w:val="nil"/>
              <w:left w:val="nil"/>
              <w:bottom w:val="single" w:sz="12" w:space="0" w:color="auto"/>
              <w:right w:val="single" w:sz="12"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4,33%</w:t>
            </w:r>
          </w:p>
        </w:tc>
      </w:tr>
      <w:tr w:rsidR="00950BDF" w:rsidRPr="00CA6AE8" w:rsidTr="00A73480">
        <w:tc>
          <w:tcPr>
            <w:tcW w:w="14560" w:type="dxa"/>
            <w:gridSpan w:val="7"/>
            <w:tcBorders>
              <w:top w:val="single" w:sz="12" w:space="0" w:color="auto"/>
              <w:left w:val="single" w:sz="12" w:space="0" w:color="auto"/>
              <w:bottom w:val="single" w:sz="8" w:space="0" w:color="auto"/>
              <w:right w:val="single" w:sz="12" w:space="0" w:color="auto"/>
            </w:tcBorders>
            <w:shd w:val="clear" w:color="000000" w:fill="DBE5F1"/>
            <w:noWrap/>
            <w:vAlign w:val="center"/>
            <w:hideMark/>
          </w:tcPr>
          <w:p w:rsidR="00950BDF" w:rsidRPr="00FC0793" w:rsidRDefault="00950BDF" w:rsidP="00E44C19">
            <w:pPr>
              <w:spacing w:after="0" w:line="240" w:lineRule="auto"/>
              <w:rPr>
                <w:rFonts w:ascii="Times New Roman" w:eastAsia="Times New Roman" w:hAnsi="Times New Roman" w:cs="Times New Roman"/>
                <w:b/>
                <w:bCs/>
                <w:color w:val="000000"/>
                <w:sz w:val="20"/>
                <w:szCs w:val="20"/>
              </w:rPr>
            </w:pPr>
            <w:r w:rsidRPr="00FC0793">
              <w:rPr>
                <w:rFonts w:ascii="Times New Roman" w:eastAsia="Times New Roman" w:hAnsi="Times New Roman" w:cs="Times New Roman"/>
                <w:b/>
                <w:bCs/>
                <w:color w:val="000000"/>
                <w:sz w:val="20"/>
                <w:szCs w:val="20"/>
              </w:rPr>
              <w:t xml:space="preserve">Цена на регионален пазар </w:t>
            </w:r>
            <w:r w:rsidR="00A73480" w:rsidRPr="00FC0793">
              <w:rPr>
                <w:rFonts w:ascii="Times New Roman" w:eastAsia="Times New Roman" w:hAnsi="Times New Roman" w:cs="Times New Roman"/>
                <w:b/>
                <w:bCs/>
                <w:color w:val="000000"/>
                <w:sz w:val="20"/>
                <w:szCs w:val="20"/>
              </w:rPr>
              <w:t>–</w:t>
            </w:r>
            <w:r w:rsidRPr="00FC0793">
              <w:rPr>
                <w:rFonts w:ascii="Times New Roman" w:eastAsia="Times New Roman" w:hAnsi="Times New Roman" w:cs="Times New Roman"/>
                <w:b/>
                <w:bCs/>
                <w:color w:val="000000"/>
                <w:sz w:val="20"/>
                <w:szCs w:val="20"/>
              </w:rPr>
              <w:t xml:space="preserve"> Сценарий 3/Ниво на натоварване на мощностите </w:t>
            </w:r>
            <w:r w:rsidR="00A73480" w:rsidRPr="00FC0793">
              <w:rPr>
                <w:rFonts w:ascii="Times New Roman" w:eastAsia="Times New Roman" w:hAnsi="Times New Roman" w:cs="Times New Roman"/>
                <w:b/>
                <w:bCs/>
                <w:color w:val="000000"/>
                <w:sz w:val="20"/>
                <w:szCs w:val="20"/>
              </w:rPr>
              <w:t>–</w:t>
            </w:r>
            <w:r w:rsidRPr="00FC0793">
              <w:rPr>
                <w:rFonts w:ascii="Times New Roman" w:eastAsia="Times New Roman" w:hAnsi="Times New Roman" w:cs="Times New Roman"/>
                <w:b/>
                <w:bCs/>
                <w:color w:val="000000"/>
                <w:sz w:val="20"/>
                <w:szCs w:val="20"/>
              </w:rPr>
              <w:t xml:space="preserve"> 100%</w:t>
            </w:r>
          </w:p>
        </w:tc>
      </w:tr>
      <w:tr w:rsidR="00FC0793" w:rsidRPr="00CA6AE8" w:rsidTr="00267B90">
        <w:tc>
          <w:tcPr>
            <w:tcW w:w="3040" w:type="dxa"/>
            <w:tcBorders>
              <w:top w:val="nil"/>
              <w:left w:val="single" w:sz="12" w:space="0" w:color="auto"/>
              <w:bottom w:val="single" w:sz="8" w:space="0" w:color="auto"/>
              <w:right w:val="single" w:sz="12" w:space="0" w:color="auto"/>
            </w:tcBorders>
            <w:shd w:val="clear" w:color="000000" w:fill="FFFFFF"/>
            <w:noWrap/>
            <w:vAlign w:val="center"/>
            <w:hideMark/>
          </w:tcPr>
          <w:p w:rsidR="00FC0793" w:rsidRPr="00CA6AE8" w:rsidRDefault="00FC0793" w:rsidP="00E0790B">
            <w:pPr>
              <w:spacing w:after="0" w:line="240" w:lineRule="auto"/>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IRR</w:t>
            </w:r>
            <w:r>
              <w:rPr>
                <w:rFonts w:ascii="Times New Roman" w:eastAsia="Times New Roman" w:hAnsi="Times New Roman" w:cs="Times New Roman"/>
                <w:color w:val="000000"/>
                <w:sz w:val="20"/>
                <w:szCs w:val="20"/>
              </w:rPr>
              <w:t xml:space="preserve"> – </w:t>
            </w:r>
            <w:r w:rsidRPr="00CA6AE8">
              <w:rPr>
                <w:rFonts w:ascii="Times New Roman" w:eastAsia="Times New Roman" w:hAnsi="Times New Roman" w:cs="Times New Roman"/>
                <w:color w:val="000000"/>
                <w:sz w:val="20"/>
                <w:szCs w:val="20"/>
              </w:rPr>
              <w:t>частен инвеститор</w:t>
            </w:r>
          </w:p>
        </w:tc>
        <w:tc>
          <w:tcPr>
            <w:tcW w:w="1920" w:type="dxa"/>
            <w:tcBorders>
              <w:top w:val="nil"/>
              <w:left w:val="single" w:sz="12" w:space="0" w:color="auto"/>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4,37%</w:t>
            </w:r>
          </w:p>
        </w:tc>
        <w:tc>
          <w:tcPr>
            <w:tcW w:w="1920" w:type="dxa"/>
            <w:tcBorders>
              <w:top w:val="nil"/>
              <w:left w:val="nil"/>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4,58%</w:t>
            </w:r>
          </w:p>
        </w:tc>
        <w:tc>
          <w:tcPr>
            <w:tcW w:w="1920" w:type="dxa"/>
            <w:tcBorders>
              <w:top w:val="nil"/>
              <w:left w:val="nil"/>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5,04%</w:t>
            </w:r>
          </w:p>
        </w:tc>
        <w:tc>
          <w:tcPr>
            <w:tcW w:w="1920" w:type="dxa"/>
            <w:tcBorders>
              <w:top w:val="nil"/>
              <w:left w:val="nil"/>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4,54%</w:t>
            </w:r>
          </w:p>
        </w:tc>
        <w:tc>
          <w:tcPr>
            <w:tcW w:w="1920" w:type="dxa"/>
            <w:tcBorders>
              <w:top w:val="nil"/>
              <w:left w:val="nil"/>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4,79%</w:t>
            </w:r>
          </w:p>
        </w:tc>
        <w:tc>
          <w:tcPr>
            <w:tcW w:w="1920" w:type="dxa"/>
            <w:tcBorders>
              <w:top w:val="nil"/>
              <w:left w:val="nil"/>
              <w:bottom w:val="single" w:sz="8" w:space="0" w:color="auto"/>
              <w:right w:val="single" w:sz="12"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5,33%</w:t>
            </w:r>
          </w:p>
        </w:tc>
      </w:tr>
      <w:tr w:rsidR="00FC0793" w:rsidRPr="00CA6AE8" w:rsidTr="00267B90">
        <w:tc>
          <w:tcPr>
            <w:tcW w:w="3040" w:type="dxa"/>
            <w:tcBorders>
              <w:top w:val="nil"/>
              <w:left w:val="single" w:sz="12" w:space="0" w:color="auto"/>
              <w:bottom w:val="single" w:sz="12" w:space="0" w:color="auto"/>
              <w:right w:val="single" w:sz="12" w:space="0" w:color="auto"/>
            </w:tcBorders>
            <w:shd w:val="clear" w:color="000000" w:fill="FFFFFF"/>
            <w:noWrap/>
            <w:vAlign w:val="center"/>
            <w:hideMark/>
          </w:tcPr>
          <w:p w:rsidR="00FC0793" w:rsidRPr="00CA6AE8" w:rsidRDefault="00FC0793" w:rsidP="00E0790B">
            <w:pPr>
              <w:spacing w:after="0" w:line="240" w:lineRule="auto"/>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IRR</w:t>
            </w:r>
            <w:r>
              <w:rPr>
                <w:rFonts w:ascii="Times New Roman" w:eastAsia="Times New Roman" w:hAnsi="Times New Roman" w:cs="Times New Roman"/>
                <w:color w:val="000000"/>
                <w:sz w:val="20"/>
                <w:szCs w:val="20"/>
              </w:rPr>
              <w:t xml:space="preserve"> – </w:t>
            </w:r>
            <w:r w:rsidRPr="00CA6AE8">
              <w:rPr>
                <w:rFonts w:ascii="Times New Roman" w:eastAsia="Times New Roman" w:hAnsi="Times New Roman" w:cs="Times New Roman"/>
                <w:color w:val="000000"/>
                <w:sz w:val="20"/>
                <w:szCs w:val="20"/>
              </w:rPr>
              <w:t>държава</w:t>
            </w:r>
          </w:p>
        </w:tc>
        <w:tc>
          <w:tcPr>
            <w:tcW w:w="1920" w:type="dxa"/>
            <w:tcBorders>
              <w:top w:val="nil"/>
              <w:left w:val="single" w:sz="12" w:space="0" w:color="auto"/>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w:t>
            </w:r>
          </w:p>
        </w:tc>
        <w:tc>
          <w:tcPr>
            <w:tcW w:w="1920" w:type="dxa"/>
            <w:tcBorders>
              <w:top w:val="nil"/>
              <w:left w:val="nil"/>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w:t>
            </w:r>
          </w:p>
        </w:tc>
        <w:tc>
          <w:tcPr>
            <w:tcW w:w="1920" w:type="dxa"/>
            <w:tcBorders>
              <w:top w:val="nil"/>
              <w:left w:val="nil"/>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w:t>
            </w:r>
          </w:p>
        </w:tc>
        <w:tc>
          <w:tcPr>
            <w:tcW w:w="1920" w:type="dxa"/>
            <w:tcBorders>
              <w:top w:val="nil"/>
              <w:left w:val="nil"/>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3,93%</w:t>
            </w:r>
          </w:p>
        </w:tc>
        <w:tc>
          <w:tcPr>
            <w:tcW w:w="1920" w:type="dxa"/>
            <w:tcBorders>
              <w:top w:val="nil"/>
              <w:left w:val="nil"/>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4,18%</w:t>
            </w:r>
          </w:p>
        </w:tc>
        <w:tc>
          <w:tcPr>
            <w:tcW w:w="1920" w:type="dxa"/>
            <w:tcBorders>
              <w:top w:val="nil"/>
              <w:left w:val="nil"/>
              <w:bottom w:val="single" w:sz="12" w:space="0" w:color="auto"/>
              <w:right w:val="single" w:sz="12"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4,67%</w:t>
            </w:r>
          </w:p>
        </w:tc>
      </w:tr>
      <w:tr w:rsidR="00950BDF" w:rsidRPr="00CA6AE8" w:rsidTr="00A73480">
        <w:tc>
          <w:tcPr>
            <w:tcW w:w="14560" w:type="dxa"/>
            <w:gridSpan w:val="7"/>
            <w:tcBorders>
              <w:top w:val="single" w:sz="12" w:space="0" w:color="auto"/>
              <w:left w:val="single" w:sz="12" w:space="0" w:color="auto"/>
              <w:bottom w:val="single" w:sz="8" w:space="0" w:color="auto"/>
              <w:right w:val="single" w:sz="12" w:space="0" w:color="auto"/>
            </w:tcBorders>
            <w:shd w:val="clear" w:color="000000" w:fill="DBE5F1"/>
            <w:noWrap/>
            <w:vAlign w:val="center"/>
            <w:hideMark/>
          </w:tcPr>
          <w:p w:rsidR="00950BDF" w:rsidRPr="00FC0793" w:rsidRDefault="00950BDF" w:rsidP="00E44C19">
            <w:pPr>
              <w:spacing w:after="0" w:line="240" w:lineRule="auto"/>
              <w:rPr>
                <w:rFonts w:ascii="Times New Roman" w:eastAsia="Times New Roman" w:hAnsi="Times New Roman" w:cs="Times New Roman"/>
                <w:b/>
                <w:bCs/>
                <w:color w:val="000000"/>
                <w:sz w:val="20"/>
                <w:szCs w:val="20"/>
              </w:rPr>
            </w:pPr>
            <w:r w:rsidRPr="00FC0793">
              <w:rPr>
                <w:rFonts w:ascii="Times New Roman" w:eastAsia="Times New Roman" w:hAnsi="Times New Roman" w:cs="Times New Roman"/>
                <w:b/>
                <w:bCs/>
                <w:color w:val="000000"/>
                <w:sz w:val="20"/>
                <w:szCs w:val="20"/>
              </w:rPr>
              <w:t xml:space="preserve">Цена на регионален пазар </w:t>
            </w:r>
            <w:r w:rsidR="00A73480" w:rsidRPr="00FC0793">
              <w:rPr>
                <w:rFonts w:ascii="Times New Roman" w:eastAsia="Times New Roman" w:hAnsi="Times New Roman" w:cs="Times New Roman"/>
                <w:b/>
                <w:bCs/>
                <w:color w:val="000000"/>
                <w:sz w:val="20"/>
                <w:szCs w:val="20"/>
              </w:rPr>
              <w:t>–</w:t>
            </w:r>
            <w:r w:rsidRPr="00FC0793">
              <w:rPr>
                <w:rFonts w:ascii="Times New Roman" w:eastAsia="Times New Roman" w:hAnsi="Times New Roman" w:cs="Times New Roman"/>
                <w:b/>
                <w:bCs/>
                <w:color w:val="000000"/>
                <w:sz w:val="20"/>
                <w:szCs w:val="20"/>
              </w:rPr>
              <w:t xml:space="preserve"> Сценарий 6/Ниво на натоварване на мощностите </w:t>
            </w:r>
            <w:r w:rsidR="00A73480" w:rsidRPr="00FC0793">
              <w:rPr>
                <w:rFonts w:ascii="Times New Roman" w:eastAsia="Times New Roman" w:hAnsi="Times New Roman" w:cs="Times New Roman"/>
                <w:b/>
                <w:bCs/>
                <w:color w:val="000000"/>
                <w:sz w:val="20"/>
                <w:szCs w:val="20"/>
              </w:rPr>
              <w:t>–</w:t>
            </w:r>
            <w:r w:rsidRPr="00FC0793">
              <w:rPr>
                <w:rFonts w:ascii="Times New Roman" w:eastAsia="Times New Roman" w:hAnsi="Times New Roman" w:cs="Times New Roman"/>
                <w:b/>
                <w:bCs/>
                <w:color w:val="000000"/>
                <w:sz w:val="20"/>
                <w:szCs w:val="20"/>
              </w:rPr>
              <w:t xml:space="preserve"> 100%</w:t>
            </w:r>
          </w:p>
        </w:tc>
      </w:tr>
      <w:tr w:rsidR="00FC0793" w:rsidRPr="00CA6AE8" w:rsidTr="00267B90">
        <w:tc>
          <w:tcPr>
            <w:tcW w:w="3040" w:type="dxa"/>
            <w:tcBorders>
              <w:top w:val="nil"/>
              <w:left w:val="single" w:sz="12" w:space="0" w:color="auto"/>
              <w:bottom w:val="single" w:sz="8" w:space="0" w:color="auto"/>
              <w:right w:val="single" w:sz="12" w:space="0" w:color="auto"/>
            </w:tcBorders>
            <w:shd w:val="clear" w:color="000000" w:fill="FFFFFF"/>
            <w:noWrap/>
            <w:vAlign w:val="center"/>
            <w:hideMark/>
          </w:tcPr>
          <w:p w:rsidR="00FC0793" w:rsidRPr="00CA6AE8" w:rsidRDefault="00FC0793" w:rsidP="00E0790B">
            <w:pPr>
              <w:spacing w:after="0" w:line="240" w:lineRule="auto"/>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IRR</w:t>
            </w:r>
            <w:r>
              <w:rPr>
                <w:rFonts w:ascii="Times New Roman" w:eastAsia="Times New Roman" w:hAnsi="Times New Roman" w:cs="Times New Roman"/>
                <w:color w:val="000000"/>
                <w:sz w:val="20"/>
                <w:szCs w:val="20"/>
              </w:rPr>
              <w:t xml:space="preserve"> – </w:t>
            </w:r>
            <w:r w:rsidRPr="00CA6AE8">
              <w:rPr>
                <w:rFonts w:ascii="Times New Roman" w:eastAsia="Times New Roman" w:hAnsi="Times New Roman" w:cs="Times New Roman"/>
                <w:color w:val="000000"/>
                <w:sz w:val="20"/>
                <w:szCs w:val="20"/>
              </w:rPr>
              <w:t>частен инвеститор</w:t>
            </w:r>
          </w:p>
        </w:tc>
        <w:tc>
          <w:tcPr>
            <w:tcW w:w="1920" w:type="dxa"/>
            <w:tcBorders>
              <w:top w:val="nil"/>
              <w:left w:val="single" w:sz="12" w:space="0" w:color="auto"/>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5,04%</w:t>
            </w:r>
          </w:p>
        </w:tc>
        <w:tc>
          <w:tcPr>
            <w:tcW w:w="1920" w:type="dxa"/>
            <w:tcBorders>
              <w:top w:val="nil"/>
              <w:left w:val="nil"/>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5,18%</w:t>
            </w:r>
          </w:p>
        </w:tc>
        <w:tc>
          <w:tcPr>
            <w:tcW w:w="1920" w:type="dxa"/>
            <w:tcBorders>
              <w:top w:val="nil"/>
              <w:left w:val="nil"/>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5,59%</w:t>
            </w:r>
          </w:p>
        </w:tc>
        <w:tc>
          <w:tcPr>
            <w:tcW w:w="1920" w:type="dxa"/>
            <w:tcBorders>
              <w:top w:val="nil"/>
              <w:left w:val="nil"/>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5,25%</w:t>
            </w:r>
          </w:p>
        </w:tc>
        <w:tc>
          <w:tcPr>
            <w:tcW w:w="1920" w:type="dxa"/>
            <w:tcBorders>
              <w:top w:val="nil"/>
              <w:left w:val="nil"/>
              <w:bottom w:val="single" w:sz="8"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5,43%</w:t>
            </w:r>
          </w:p>
        </w:tc>
        <w:tc>
          <w:tcPr>
            <w:tcW w:w="1920" w:type="dxa"/>
            <w:tcBorders>
              <w:top w:val="nil"/>
              <w:left w:val="nil"/>
              <w:bottom w:val="single" w:sz="8" w:space="0" w:color="auto"/>
              <w:right w:val="single" w:sz="12"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b/>
                <w:color w:val="000000"/>
                <w:sz w:val="20"/>
                <w:szCs w:val="20"/>
              </w:rPr>
            </w:pPr>
            <w:r w:rsidRPr="00FC0793">
              <w:rPr>
                <w:rFonts w:ascii="Times New Roman" w:hAnsi="Times New Roman" w:cs="Times New Roman"/>
                <w:color w:val="000000"/>
                <w:sz w:val="20"/>
                <w:szCs w:val="20"/>
              </w:rPr>
              <w:t>5,93%</w:t>
            </w:r>
          </w:p>
        </w:tc>
      </w:tr>
      <w:tr w:rsidR="00FC0793" w:rsidRPr="00CA6AE8" w:rsidTr="00267B90">
        <w:tc>
          <w:tcPr>
            <w:tcW w:w="3040" w:type="dxa"/>
            <w:tcBorders>
              <w:top w:val="nil"/>
              <w:left w:val="single" w:sz="12" w:space="0" w:color="auto"/>
              <w:bottom w:val="single" w:sz="12" w:space="0" w:color="auto"/>
              <w:right w:val="single" w:sz="12" w:space="0" w:color="auto"/>
            </w:tcBorders>
            <w:shd w:val="clear" w:color="000000" w:fill="FFFFFF"/>
            <w:noWrap/>
            <w:vAlign w:val="center"/>
            <w:hideMark/>
          </w:tcPr>
          <w:p w:rsidR="00FC0793" w:rsidRPr="00CA6AE8" w:rsidRDefault="00FC0793" w:rsidP="00E0790B">
            <w:pPr>
              <w:spacing w:after="0" w:line="240" w:lineRule="auto"/>
              <w:rPr>
                <w:rFonts w:ascii="Times New Roman" w:eastAsia="Times New Roman" w:hAnsi="Times New Roman" w:cs="Times New Roman"/>
                <w:color w:val="000000"/>
                <w:sz w:val="20"/>
                <w:szCs w:val="20"/>
              </w:rPr>
            </w:pPr>
            <w:r w:rsidRPr="00CA6AE8">
              <w:rPr>
                <w:rFonts w:ascii="Times New Roman" w:eastAsia="Times New Roman" w:hAnsi="Times New Roman" w:cs="Times New Roman"/>
                <w:color w:val="000000"/>
                <w:sz w:val="20"/>
                <w:szCs w:val="20"/>
              </w:rPr>
              <w:t>IRR</w:t>
            </w:r>
            <w:r>
              <w:rPr>
                <w:rFonts w:ascii="Times New Roman" w:eastAsia="Times New Roman" w:hAnsi="Times New Roman" w:cs="Times New Roman"/>
                <w:color w:val="000000"/>
                <w:sz w:val="20"/>
                <w:szCs w:val="20"/>
              </w:rPr>
              <w:t xml:space="preserve"> – </w:t>
            </w:r>
            <w:r w:rsidRPr="00CA6AE8">
              <w:rPr>
                <w:rFonts w:ascii="Times New Roman" w:eastAsia="Times New Roman" w:hAnsi="Times New Roman" w:cs="Times New Roman"/>
                <w:color w:val="000000"/>
                <w:sz w:val="20"/>
                <w:szCs w:val="20"/>
              </w:rPr>
              <w:t>държава</w:t>
            </w:r>
          </w:p>
        </w:tc>
        <w:tc>
          <w:tcPr>
            <w:tcW w:w="1920" w:type="dxa"/>
            <w:tcBorders>
              <w:top w:val="nil"/>
              <w:left w:val="single" w:sz="12" w:space="0" w:color="auto"/>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center"/>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w:t>
            </w:r>
          </w:p>
        </w:tc>
        <w:tc>
          <w:tcPr>
            <w:tcW w:w="1920" w:type="dxa"/>
            <w:tcBorders>
              <w:top w:val="nil"/>
              <w:left w:val="nil"/>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center"/>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w:t>
            </w:r>
          </w:p>
        </w:tc>
        <w:tc>
          <w:tcPr>
            <w:tcW w:w="1920" w:type="dxa"/>
            <w:tcBorders>
              <w:top w:val="nil"/>
              <w:left w:val="nil"/>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center"/>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w:t>
            </w:r>
          </w:p>
        </w:tc>
        <w:tc>
          <w:tcPr>
            <w:tcW w:w="1920" w:type="dxa"/>
            <w:tcBorders>
              <w:top w:val="nil"/>
              <w:left w:val="nil"/>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4,49%</w:t>
            </w:r>
          </w:p>
        </w:tc>
        <w:tc>
          <w:tcPr>
            <w:tcW w:w="1920" w:type="dxa"/>
            <w:tcBorders>
              <w:top w:val="nil"/>
              <w:left w:val="nil"/>
              <w:bottom w:val="single" w:sz="12" w:space="0" w:color="auto"/>
              <w:right w:val="single" w:sz="8"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4,70%</w:t>
            </w:r>
          </w:p>
        </w:tc>
        <w:tc>
          <w:tcPr>
            <w:tcW w:w="1920" w:type="dxa"/>
            <w:tcBorders>
              <w:top w:val="nil"/>
              <w:left w:val="nil"/>
              <w:bottom w:val="single" w:sz="12" w:space="0" w:color="auto"/>
              <w:right w:val="single" w:sz="12" w:space="0" w:color="auto"/>
            </w:tcBorders>
            <w:shd w:val="clear" w:color="auto" w:fill="auto"/>
            <w:noWrap/>
            <w:vAlign w:val="center"/>
          </w:tcPr>
          <w:p w:rsidR="00FC0793" w:rsidRPr="00FC0793" w:rsidRDefault="00FC0793" w:rsidP="00E44C19">
            <w:pPr>
              <w:spacing w:after="0" w:line="240" w:lineRule="auto"/>
              <w:jc w:val="right"/>
              <w:rPr>
                <w:rFonts w:ascii="Times New Roman" w:eastAsia="Times New Roman" w:hAnsi="Times New Roman" w:cs="Times New Roman"/>
                <w:color w:val="000000"/>
                <w:sz w:val="20"/>
                <w:szCs w:val="20"/>
              </w:rPr>
            </w:pPr>
            <w:r w:rsidRPr="00FC0793">
              <w:rPr>
                <w:rFonts w:ascii="Times New Roman" w:hAnsi="Times New Roman" w:cs="Times New Roman"/>
                <w:color w:val="000000"/>
                <w:sz w:val="20"/>
                <w:szCs w:val="20"/>
              </w:rPr>
              <w:t>5,17%</w:t>
            </w:r>
          </w:p>
        </w:tc>
      </w:tr>
    </w:tbl>
    <w:p w:rsidR="00950BDF" w:rsidRPr="00CA6AE8" w:rsidRDefault="00950BDF" w:rsidP="00E44C19">
      <w:pPr>
        <w:spacing w:before="120" w:after="120" w:line="240" w:lineRule="auto"/>
        <w:jc w:val="center"/>
        <w:rPr>
          <w:rFonts w:ascii="Times New Roman" w:hAnsi="Times New Roman" w:cs="Times New Roman"/>
          <w:sz w:val="20"/>
          <w:szCs w:val="24"/>
        </w:rPr>
      </w:pPr>
      <w:r w:rsidRPr="00CA6AE8">
        <w:rPr>
          <w:rFonts w:ascii="Times New Roman" w:hAnsi="Times New Roman" w:cs="Times New Roman"/>
          <w:sz w:val="20"/>
          <w:szCs w:val="24"/>
        </w:rPr>
        <w:t>Източник: Съставена от авторите на основа на получени резултати от модела.</w:t>
      </w:r>
    </w:p>
    <w:p w:rsidR="00950BDF" w:rsidRPr="00CA6AE8" w:rsidRDefault="00950BDF" w:rsidP="00E44C19">
      <w:pPr>
        <w:spacing w:before="120" w:after="120" w:line="240" w:lineRule="auto"/>
        <w:jc w:val="center"/>
        <w:rPr>
          <w:rFonts w:ascii="Times New Roman" w:hAnsi="Times New Roman" w:cs="Times New Roman"/>
          <w:sz w:val="20"/>
          <w:szCs w:val="24"/>
        </w:rPr>
        <w:sectPr w:rsidR="00950BDF" w:rsidRPr="00CA6AE8" w:rsidSect="00950BDF">
          <w:pgSz w:w="16838" w:h="11906" w:orient="landscape"/>
          <w:pgMar w:top="993" w:right="1417" w:bottom="1134" w:left="1417" w:header="708" w:footer="708" w:gutter="0"/>
          <w:cols w:space="708"/>
          <w:docGrid w:linePitch="360"/>
        </w:sectPr>
      </w:pP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lastRenderedPageBreak/>
        <w:t>Въз основа на резултатите от тестването на чувствителността на финансовите показатели по отношение на ценовите сценарии и промените в нивото на натоварване на мощностите могат да се изведат следните изводи за финансовата жизнеспособност на проекта:</w:t>
      </w:r>
    </w:p>
    <w:p w:rsidR="00950BDF" w:rsidRPr="00950BDF" w:rsidRDefault="00950BDF" w:rsidP="00E44C19">
      <w:pPr>
        <w:spacing w:before="120" w:after="120" w:line="240" w:lineRule="auto"/>
        <w:jc w:val="both"/>
        <w:rPr>
          <w:rFonts w:ascii="Times New Roman" w:hAnsi="Times New Roman" w:cs="Times New Roman"/>
          <w:sz w:val="24"/>
          <w:szCs w:val="24"/>
        </w:rPr>
      </w:pPr>
    </w:p>
    <w:p w:rsidR="00950BDF" w:rsidRPr="00950BDF" w:rsidRDefault="00950BDF" w:rsidP="00E44C19">
      <w:pPr>
        <w:spacing w:before="120" w:after="120" w:line="240" w:lineRule="auto"/>
        <w:jc w:val="both"/>
        <w:rPr>
          <w:rFonts w:ascii="Times New Roman" w:hAnsi="Times New Roman" w:cs="Times New Roman"/>
          <w:b/>
          <w:i/>
          <w:sz w:val="24"/>
          <w:szCs w:val="24"/>
        </w:rPr>
      </w:pPr>
      <w:r w:rsidRPr="00950BDF">
        <w:rPr>
          <w:rFonts w:ascii="Times New Roman" w:hAnsi="Times New Roman" w:cs="Times New Roman"/>
          <w:b/>
          <w:i/>
          <w:sz w:val="24"/>
          <w:szCs w:val="24"/>
        </w:rPr>
        <w:t>Общи финансови показатели за проекта преди финансиране</w:t>
      </w:r>
    </w:p>
    <w:p w:rsidR="00BE73EB" w:rsidRPr="00DB1A1E" w:rsidRDefault="00950BDF" w:rsidP="002A32DA">
      <w:pPr>
        <w:pStyle w:val="ListParagraph"/>
        <w:numPr>
          <w:ilvl w:val="0"/>
          <w:numId w:val="18"/>
        </w:numPr>
        <w:spacing w:before="120" w:after="120" w:line="240" w:lineRule="auto"/>
        <w:ind w:left="284" w:hanging="284"/>
        <w:contextualSpacing w:val="0"/>
        <w:jc w:val="both"/>
        <w:rPr>
          <w:rFonts w:ascii="Times New Roman" w:hAnsi="Times New Roman" w:cs="Times New Roman"/>
          <w:sz w:val="24"/>
          <w:szCs w:val="24"/>
        </w:rPr>
      </w:pPr>
      <w:r w:rsidRPr="00950BDF">
        <w:rPr>
          <w:rFonts w:ascii="Times New Roman" w:hAnsi="Times New Roman" w:cs="Times New Roman"/>
          <w:sz w:val="24"/>
          <w:szCs w:val="24"/>
        </w:rPr>
        <w:t>Най-</w:t>
      </w:r>
      <w:r w:rsidRPr="00BE73EB">
        <w:rPr>
          <w:rFonts w:ascii="Times New Roman" w:hAnsi="Times New Roman" w:cs="Times New Roman"/>
          <w:sz w:val="24"/>
          <w:szCs w:val="24"/>
        </w:rPr>
        <w:t xml:space="preserve">важните финансови показатели на проекта са индиферентни по отношение на тестваните промени в цените. При нито </w:t>
      </w:r>
      <w:r w:rsidR="00C5267F" w:rsidRPr="00BE73EB">
        <w:rPr>
          <w:rFonts w:ascii="Times New Roman" w:hAnsi="Times New Roman" w:cs="Times New Roman"/>
          <w:sz w:val="24"/>
          <w:szCs w:val="24"/>
        </w:rPr>
        <w:t>една</w:t>
      </w:r>
      <w:r w:rsidRPr="00BE73EB">
        <w:rPr>
          <w:rFonts w:ascii="Times New Roman" w:hAnsi="Times New Roman" w:cs="Times New Roman"/>
          <w:sz w:val="24"/>
          <w:szCs w:val="24"/>
        </w:rPr>
        <w:t xml:space="preserve"> от общо </w:t>
      </w:r>
      <w:r w:rsidR="00C5267F" w:rsidRPr="00F46156">
        <w:rPr>
          <w:rFonts w:ascii="Times New Roman" w:hAnsi="Times New Roman" w:cs="Times New Roman"/>
          <w:sz w:val="24"/>
          <w:szCs w:val="24"/>
        </w:rPr>
        <w:t>90</w:t>
      </w:r>
      <w:r w:rsidRPr="00BE73EB">
        <w:rPr>
          <w:rFonts w:ascii="Times New Roman" w:hAnsi="Times New Roman" w:cs="Times New Roman"/>
          <w:sz w:val="24"/>
          <w:szCs w:val="24"/>
        </w:rPr>
        <w:t xml:space="preserve"> тествани комбинации </w:t>
      </w:r>
      <w:r w:rsidR="00C5267F" w:rsidRPr="00DB1A1E">
        <w:rPr>
          <w:rFonts w:ascii="Times New Roman" w:hAnsi="Times New Roman" w:cs="Times New Roman"/>
          <w:sz w:val="24"/>
          <w:szCs w:val="24"/>
        </w:rPr>
        <w:t>от цени, натовареност и съответен вариант на финансиране</w:t>
      </w:r>
      <w:r w:rsidR="00DE2135">
        <w:rPr>
          <w:rFonts w:ascii="Times New Roman" w:hAnsi="Times New Roman" w:cs="Times New Roman"/>
          <w:sz w:val="24"/>
          <w:szCs w:val="24"/>
        </w:rPr>
        <w:t xml:space="preserve"> </w:t>
      </w:r>
      <w:r w:rsidRPr="00BE73EB">
        <w:rPr>
          <w:rFonts w:ascii="Times New Roman" w:hAnsi="Times New Roman" w:cs="Times New Roman"/>
          <w:sz w:val="24"/>
          <w:szCs w:val="24"/>
        </w:rPr>
        <w:t>не се получават едновременно положителни нетна настояща стойност и вътрешна норма на възв</w:t>
      </w:r>
      <w:r w:rsidRPr="008500DD">
        <w:rPr>
          <w:rFonts w:ascii="Times New Roman" w:hAnsi="Times New Roman" w:cs="Times New Roman"/>
          <w:sz w:val="24"/>
          <w:szCs w:val="24"/>
        </w:rPr>
        <w:t xml:space="preserve">ръщаемост над дисконтовата норма. Основната причина за това е, че прогнозираните равнища на цените </w:t>
      </w:r>
      <w:r w:rsidR="00C5267F" w:rsidRPr="00DB1A1E">
        <w:rPr>
          <w:rFonts w:ascii="Times New Roman" w:hAnsi="Times New Roman" w:cs="Times New Roman"/>
          <w:sz w:val="24"/>
          <w:szCs w:val="24"/>
        </w:rPr>
        <w:t>за много дълъг период от време</w:t>
      </w:r>
      <w:r w:rsidR="00DE2135">
        <w:rPr>
          <w:rFonts w:ascii="Times New Roman" w:hAnsi="Times New Roman" w:cs="Times New Roman"/>
          <w:sz w:val="24"/>
          <w:szCs w:val="24"/>
        </w:rPr>
        <w:t xml:space="preserve"> </w:t>
      </w:r>
      <w:r w:rsidRPr="00BE73EB">
        <w:rPr>
          <w:rFonts w:ascii="Times New Roman" w:hAnsi="Times New Roman" w:cs="Times New Roman"/>
          <w:sz w:val="24"/>
          <w:szCs w:val="24"/>
        </w:rPr>
        <w:t>са под изчислената линия на „изгладените“ разходи за произведената електрическа енергия</w:t>
      </w:r>
      <w:r w:rsidR="00797B98" w:rsidRPr="008500DD">
        <w:rPr>
          <w:rFonts w:ascii="Times New Roman" w:hAnsi="Times New Roman" w:cs="Times New Roman"/>
          <w:sz w:val="24"/>
          <w:szCs w:val="24"/>
        </w:rPr>
        <w:t xml:space="preserve"> (</w:t>
      </w:r>
      <w:r w:rsidR="00BE73EB">
        <w:rPr>
          <w:rFonts w:ascii="Times New Roman" w:hAnsi="Times New Roman" w:cs="Times New Roman"/>
          <w:sz w:val="24"/>
          <w:szCs w:val="24"/>
        </w:rPr>
        <w:t xml:space="preserve">при вариантите на проекта тя варира между </w:t>
      </w:r>
      <w:r w:rsidR="00BE73EB" w:rsidRPr="00583AE6">
        <w:rPr>
          <w:rFonts w:ascii="Times New Roman" w:hAnsi="Times New Roman" w:cs="Times New Roman"/>
          <w:sz w:val="24"/>
          <w:szCs w:val="24"/>
        </w:rPr>
        <w:t>86</w:t>
      </w:r>
      <w:r w:rsidR="000A609E">
        <w:rPr>
          <w:rFonts w:ascii="Times New Roman" w:hAnsi="Times New Roman" w:cs="Times New Roman"/>
          <w:sz w:val="24"/>
          <w:szCs w:val="24"/>
        </w:rPr>
        <w:t>.</w:t>
      </w:r>
      <w:r w:rsidR="00BE73EB" w:rsidRPr="00583AE6">
        <w:rPr>
          <w:rFonts w:ascii="Times New Roman" w:hAnsi="Times New Roman" w:cs="Times New Roman"/>
          <w:sz w:val="24"/>
          <w:szCs w:val="24"/>
        </w:rPr>
        <w:t>59</w:t>
      </w:r>
      <w:r w:rsidR="00BE73EB">
        <w:rPr>
          <w:rFonts w:ascii="Times New Roman" w:hAnsi="Times New Roman" w:cs="Times New Roman"/>
          <w:sz w:val="24"/>
          <w:szCs w:val="24"/>
        </w:rPr>
        <w:t xml:space="preserve"> </w:t>
      </w:r>
      <w:r w:rsidR="000A609E">
        <w:rPr>
          <w:rFonts w:ascii="Times New Roman" w:hAnsi="Times New Roman" w:cs="Times New Roman"/>
          <w:sz w:val="24"/>
          <w:szCs w:val="24"/>
        </w:rPr>
        <w:t>–</w:t>
      </w:r>
      <w:r w:rsidR="00BE73EB">
        <w:rPr>
          <w:rFonts w:ascii="Times New Roman" w:hAnsi="Times New Roman" w:cs="Times New Roman"/>
          <w:sz w:val="24"/>
          <w:szCs w:val="24"/>
        </w:rPr>
        <w:t xml:space="preserve"> </w:t>
      </w:r>
      <w:r w:rsidR="00BE73EB" w:rsidRPr="00583AE6">
        <w:rPr>
          <w:rFonts w:ascii="Times New Roman" w:hAnsi="Times New Roman" w:cs="Times New Roman"/>
          <w:sz w:val="24"/>
          <w:szCs w:val="24"/>
        </w:rPr>
        <w:t>92</w:t>
      </w:r>
      <w:r w:rsidR="000A609E">
        <w:rPr>
          <w:rFonts w:ascii="Times New Roman" w:hAnsi="Times New Roman" w:cs="Times New Roman"/>
          <w:sz w:val="24"/>
          <w:szCs w:val="24"/>
        </w:rPr>
        <w:t>.</w:t>
      </w:r>
      <w:r w:rsidR="00BE73EB" w:rsidRPr="00583AE6">
        <w:rPr>
          <w:rFonts w:ascii="Times New Roman" w:hAnsi="Times New Roman" w:cs="Times New Roman"/>
          <w:sz w:val="24"/>
          <w:szCs w:val="24"/>
        </w:rPr>
        <w:t>42 евро/MWh</w:t>
      </w:r>
      <w:r w:rsidR="00797B98" w:rsidRPr="00BE73EB">
        <w:rPr>
          <w:rFonts w:ascii="Times New Roman" w:hAnsi="Times New Roman" w:cs="Times New Roman"/>
          <w:sz w:val="24"/>
          <w:szCs w:val="24"/>
        </w:rPr>
        <w:t>)</w:t>
      </w:r>
      <w:r w:rsidRPr="00BE73EB">
        <w:rPr>
          <w:rFonts w:ascii="Times New Roman" w:hAnsi="Times New Roman" w:cs="Times New Roman"/>
          <w:sz w:val="24"/>
          <w:szCs w:val="24"/>
        </w:rPr>
        <w:t xml:space="preserve"> (вж. </w:t>
      </w:r>
      <w:r w:rsidR="006C65A8">
        <w:rPr>
          <w:rFonts w:ascii="Times New Roman" w:hAnsi="Times New Roman" w:cs="Times New Roman"/>
          <w:sz w:val="24"/>
          <w:szCs w:val="24"/>
        </w:rPr>
        <w:t xml:space="preserve">таблица </w:t>
      </w:r>
      <w:r w:rsidR="006C65A8" w:rsidRPr="00F03F25">
        <w:rPr>
          <w:rFonts w:ascii="Times New Roman" w:hAnsi="Times New Roman" w:cs="Times New Roman"/>
          <w:sz w:val="24"/>
          <w:szCs w:val="24"/>
          <w:lang w:val="en-US"/>
        </w:rPr>
        <w:t>V.</w:t>
      </w:r>
      <w:r w:rsidR="006C65A8" w:rsidRPr="00F03F25">
        <w:rPr>
          <w:rFonts w:ascii="Times New Roman" w:hAnsi="Times New Roman" w:cs="Times New Roman"/>
          <w:sz w:val="24"/>
          <w:szCs w:val="24"/>
        </w:rPr>
        <w:t>1</w:t>
      </w:r>
      <w:r w:rsidR="006C65A8">
        <w:rPr>
          <w:rFonts w:ascii="Times New Roman" w:hAnsi="Times New Roman" w:cs="Times New Roman"/>
          <w:sz w:val="24"/>
          <w:szCs w:val="24"/>
        </w:rPr>
        <w:t xml:space="preserve">0, </w:t>
      </w:r>
      <w:r w:rsidR="00C5267F" w:rsidRPr="00BE73EB">
        <w:rPr>
          <w:rFonts w:ascii="Times New Roman" w:hAnsi="Times New Roman" w:cs="Times New Roman"/>
          <w:sz w:val="24"/>
          <w:szCs w:val="24"/>
        </w:rPr>
        <w:t>фиг</w:t>
      </w:r>
      <w:r w:rsidR="009B2B6B" w:rsidRPr="00BE73EB">
        <w:rPr>
          <w:rFonts w:ascii="Times New Roman" w:hAnsi="Times New Roman" w:cs="Times New Roman"/>
          <w:sz w:val="24"/>
          <w:szCs w:val="24"/>
        </w:rPr>
        <w:t>.</w:t>
      </w:r>
      <w:r w:rsidR="009B2B6B" w:rsidRPr="00DB1A1E">
        <w:rPr>
          <w:rFonts w:ascii="Times New Roman" w:hAnsi="Times New Roman" w:cs="Times New Roman"/>
          <w:sz w:val="24"/>
          <w:szCs w:val="24"/>
          <w:lang w:val="en-US"/>
        </w:rPr>
        <w:t>V.</w:t>
      </w:r>
      <w:r w:rsidR="00C5267F" w:rsidRPr="00DB1A1E">
        <w:rPr>
          <w:rFonts w:ascii="Times New Roman" w:hAnsi="Times New Roman" w:cs="Times New Roman"/>
          <w:sz w:val="24"/>
          <w:szCs w:val="24"/>
        </w:rPr>
        <w:t>9 и фиг.</w:t>
      </w:r>
      <w:r w:rsidR="00C5267F" w:rsidRPr="00DB1A1E">
        <w:rPr>
          <w:rFonts w:ascii="Times New Roman" w:hAnsi="Times New Roman" w:cs="Times New Roman"/>
          <w:sz w:val="24"/>
          <w:szCs w:val="24"/>
          <w:lang w:val="en-US"/>
        </w:rPr>
        <w:t xml:space="preserve"> V.</w:t>
      </w:r>
      <w:r w:rsidR="00C5267F" w:rsidRPr="00DB1A1E">
        <w:rPr>
          <w:rFonts w:ascii="Times New Roman" w:hAnsi="Times New Roman" w:cs="Times New Roman"/>
          <w:sz w:val="24"/>
          <w:szCs w:val="24"/>
        </w:rPr>
        <w:t>1</w:t>
      </w:r>
      <w:r w:rsidR="006C65A8">
        <w:rPr>
          <w:rFonts w:ascii="Times New Roman" w:hAnsi="Times New Roman" w:cs="Times New Roman"/>
          <w:sz w:val="24"/>
          <w:szCs w:val="24"/>
        </w:rPr>
        <w:t>0</w:t>
      </w:r>
      <w:r w:rsidRPr="00BE73EB">
        <w:rPr>
          <w:rFonts w:ascii="Times New Roman" w:hAnsi="Times New Roman" w:cs="Times New Roman"/>
          <w:sz w:val="24"/>
          <w:szCs w:val="24"/>
        </w:rPr>
        <w:t>).</w:t>
      </w:r>
    </w:p>
    <w:p w:rsidR="00950BDF" w:rsidRPr="00950BDF" w:rsidRDefault="00950BDF" w:rsidP="00E44C19">
      <w:pPr>
        <w:spacing w:before="120" w:after="120" w:line="240" w:lineRule="auto"/>
        <w:jc w:val="both"/>
        <w:rPr>
          <w:rFonts w:ascii="Times New Roman" w:hAnsi="Times New Roman" w:cs="Times New Roman"/>
          <w:sz w:val="24"/>
          <w:szCs w:val="24"/>
        </w:rPr>
      </w:pPr>
    </w:p>
    <w:p w:rsidR="00950BDF" w:rsidRPr="00950BDF" w:rsidRDefault="00950BDF" w:rsidP="00E44C19">
      <w:pPr>
        <w:spacing w:before="120" w:after="120" w:line="240" w:lineRule="auto"/>
        <w:jc w:val="both"/>
        <w:rPr>
          <w:rFonts w:ascii="Times New Roman" w:hAnsi="Times New Roman" w:cs="Times New Roman"/>
          <w:b/>
          <w:i/>
          <w:sz w:val="24"/>
          <w:szCs w:val="24"/>
        </w:rPr>
      </w:pPr>
      <w:r w:rsidRPr="00950BDF">
        <w:rPr>
          <w:rFonts w:ascii="Times New Roman" w:hAnsi="Times New Roman" w:cs="Times New Roman"/>
          <w:b/>
          <w:i/>
          <w:sz w:val="24"/>
          <w:szCs w:val="24"/>
        </w:rPr>
        <w:t>Възвр</w:t>
      </w:r>
      <w:r w:rsidR="007D1312">
        <w:rPr>
          <w:rFonts w:ascii="Times New Roman" w:hAnsi="Times New Roman" w:cs="Times New Roman"/>
          <w:b/>
          <w:i/>
          <w:sz w:val="24"/>
          <w:szCs w:val="24"/>
        </w:rPr>
        <w:t>а</w:t>
      </w:r>
      <w:r w:rsidRPr="00950BDF">
        <w:rPr>
          <w:rFonts w:ascii="Times New Roman" w:hAnsi="Times New Roman" w:cs="Times New Roman"/>
          <w:b/>
          <w:i/>
          <w:sz w:val="24"/>
          <w:szCs w:val="24"/>
        </w:rPr>
        <w:t>щаемост на частния инвеститор и държавата</w:t>
      </w:r>
    </w:p>
    <w:p w:rsidR="00DE2135" w:rsidRPr="00DE2135" w:rsidRDefault="00DE2135" w:rsidP="002A32DA">
      <w:pPr>
        <w:numPr>
          <w:ilvl w:val="0"/>
          <w:numId w:val="29"/>
        </w:numPr>
        <w:tabs>
          <w:tab w:val="clear" w:pos="720"/>
          <w:tab w:val="num" w:pos="284"/>
        </w:tabs>
        <w:spacing w:before="120" w:after="120" w:line="240" w:lineRule="auto"/>
        <w:ind w:left="284" w:hanging="284"/>
        <w:jc w:val="both"/>
        <w:rPr>
          <w:rFonts w:ascii="Calibri" w:eastAsia="Times New Roman" w:hAnsi="Calibri" w:cs="Calibri"/>
          <w:lang w:eastAsia="zh-CN"/>
        </w:rPr>
      </w:pPr>
      <w:bookmarkStart w:id="177" w:name="_Toc489886929"/>
      <w:bookmarkStart w:id="178" w:name="_Toc491994402"/>
      <w:bookmarkStart w:id="179" w:name="_Toc492991261"/>
      <w:bookmarkStart w:id="180" w:name="_Toc492991321"/>
      <w:bookmarkStart w:id="181" w:name="_Toc492991344"/>
      <w:r w:rsidRPr="00DE2135">
        <w:rPr>
          <w:rFonts w:ascii="Times New Roman" w:eastAsia="Times New Roman" w:hAnsi="Times New Roman" w:cs="Times New Roman"/>
          <w:sz w:val="24"/>
          <w:szCs w:val="24"/>
          <w:lang w:eastAsia="zh-CN"/>
        </w:rPr>
        <w:t>Вътрешната норма на възвр</w:t>
      </w:r>
      <w:r>
        <w:rPr>
          <w:rFonts w:ascii="Times New Roman" w:eastAsia="Times New Roman" w:hAnsi="Times New Roman" w:cs="Times New Roman"/>
          <w:sz w:val="24"/>
          <w:szCs w:val="24"/>
          <w:lang w:eastAsia="zh-CN"/>
        </w:rPr>
        <w:t>а</w:t>
      </w:r>
      <w:r w:rsidRPr="00DE2135">
        <w:rPr>
          <w:rFonts w:ascii="Times New Roman" w:eastAsia="Times New Roman" w:hAnsi="Times New Roman" w:cs="Times New Roman"/>
          <w:sz w:val="24"/>
          <w:szCs w:val="24"/>
          <w:lang w:eastAsia="zh-CN"/>
        </w:rPr>
        <w:t>щаемост на частния инвеститор нараства с намаляване размера на собствения капитал, който инвеститорът авансира в съответния вариант – съответно тя е най-висока при Варианти 3 и 6 (при съотношение дълг/собствен капитал 70/30). Проектът не е рентабилен за инвеститора в нито един вариант и при нито една комбинация на цени и ниво на натоварване. При всички комбинации нормата на възвръщаемост на собствения капитал на инвеститора е по-ниска от прилаганата норма на дисконтиране за съответния вариант. При сравнение с очакваната доходност на капитала на инвеститора, проектът става още по-неизгоден.</w:t>
      </w:r>
    </w:p>
    <w:p w:rsidR="00DE2135" w:rsidRPr="00DE2135" w:rsidRDefault="00DE2135" w:rsidP="002A32DA">
      <w:pPr>
        <w:numPr>
          <w:ilvl w:val="0"/>
          <w:numId w:val="29"/>
        </w:numPr>
        <w:tabs>
          <w:tab w:val="clear" w:pos="720"/>
          <w:tab w:val="num" w:pos="284"/>
        </w:tabs>
        <w:spacing w:before="120" w:after="120" w:line="240" w:lineRule="auto"/>
        <w:ind w:left="284" w:hanging="284"/>
        <w:jc w:val="both"/>
        <w:rPr>
          <w:rFonts w:ascii="Calibri" w:eastAsia="Times New Roman" w:hAnsi="Calibri" w:cs="Calibri"/>
          <w:lang w:eastAsia="zh-CN"/>
        </w:rPr>
      </w:pPr>
      <w:r w:rsidRPr="00DE2135">
        <w:rPr>
          <w:rFonts w:ascii="Times New Roman" w:eastAsia="Times New Roman" w:hAnsi="Times New Roman" w:cs="Times New Roman"/>
          <w:sz w:val="24"/>
          <w:szCs w:val="24"/>
          <w:lang w:eastAsia="zh-CN"/>
        </w:rPr>
        <w:t>Вътрешната норма на възвр</w:t>
      </w:r>
      <w:r>
        <w:rPr>
          <w:rFonts w:ascii="Times New Roman" w:eastAsia="Times New Roman" w:hAnsi="Times New Roman" w:cs="Times New Roman"/>
          <w:sz w:val="24"/>
          <w:szCs w:val="24"/>
          <w:lang w:eastAsia="zh-CN"/>
        </w:rPr>
        <w:t>а</w:t>
      </w:r>
      <w:r w:rsidRPr="00DE2135">
        <w:rPr>
          <w:rFonts w:ascii="Times New Roman" w:eastAsia="Times New Roman" w:hAnsi="Times New Roman" w:cs="Times New Roman"/>
          <w:sz w:val="24"/>
          <w:szCs w:val="24"/>
          <w:lang w:eastAsia="zh-CN"/>
        </w:rPr>
        <w:t>щаемост на държавата нараства с увеличаване дела на кредитния ресурс (от Вариант 4 към Вариант 6), тъй като размерът на нейния апорт в абсолютна стойност е еднакъв за трите сценария, но делът му в общия размер на собствения капитал на дружеството расте в рамките на това движение. Нормата на възвръщаемост на собствения капитал на държавата обаче е по-ниска от прилаганата норма на дисконтиране за всеки от разглежданите варианти, което прави проекта финансово нежизнеспособен от гл.т. на държавата. При сравнение с очаквана доходност на капитала на инвеститора проектът става още по- неизгоден. Нормата на възвр</w:t>
      </w:r>
      <w:r>
        <w:rPr>
          <w:rFonts w:ascii="Times New Roman" w:eastAsia="Times New Roman" w:hAnsi="Times New Roman" w:cs="Times New Roman"/>
          <w:sz w:val="24"/>
          <w:szCs w:val="24"/>
          <w:lang w:eastAsia="zh-CN"/>
        </w:rPr>
        <w:t>а</w:t>
      </w:r>
      <w:r w:rsidRPr="00DE2135">
        <w:rPr>
          <w:rFonts w:ascii="Times New Roman" w:eastAsia="Times New Roman" w:hAnsi="Times New Roman" w:cs="Times New Roman"/>
          <w:sz w:val="24"/>
          <w:szCs w:val="24"/>
          <w:lang w:eastAsia="zh-CN"/>
        </w:rPr>
        <w:t>щаемост на капитала на държавата е по-ниска от тази на частния инвеститор при Варианти 4, 5 и 6, тъй като нейният апорт включва сумите, изразходени по проекта до 2016 г.</w:t>
      </w:r>
    </w:p>
    <w:p w:rsidR="007D1312" w:rsidRDefault="007D1312" w:rsidP="00E44C19">
      <w:pPr>
        <w:pStyle w:val="Heading1"/>
        <w:spacing w:before="120" w:after="120"/>
        <w:ind w:left="284" w:hanging="284"/>
        <w:jc w:val="both"/>
        <w:rPr>
          <w:sz w:val="24"/>
          <w:szCs w:val="24"/>
          <w:lang w:val="bg-BG"/>
        </w:rPr>
      </w:pPr>
    </w:p>
    <w:p w:rsidR="00950BDF" w:rsidRPr="00950BDF" w:rsidRDefault="00950BDF" w:rsidP="00E44C19">
      <w:pPr>
        <w:pStyle w:val="Heading1"/>
        <w:spacing w:before="120" w:after="120"/>
        <w:ind w:left="284" w:hanging="284"/>
        <w:jc w:val="both"/>
        <w:rPr>
          <w:sz w:val="24"/>
          <w:szCs w:val="24"/>
        </w:rPr>
      </w:pPr>
      <w:r w:rsidRPr="00950BDF">
        <w:rPr>
          <w:sz w:val="24"/>
          <w:szCs w:val="24"/>
          <w:lang w:val="bg-BG"/>
        </w:rPr>
        <w:t>З</w:t>
      </w:r>
      <w:r w:rsidR="002B4A5F" w:rsidRPr="00950BDF">
        <w:rPr>
          <w:sz w:val="24"/>
          <w:szCs w:val="24"/>
          <w:lang w:val="bg-BG"/>
        </w:rPr>
        <w:t>аключение</w:t>
      </w:r>
      <w:bookmarkEnd w:id="177"/>
      <w:bookmarkEnd w:id="178"/>
      <w:bookmarkEnd w:id="179"/>
      <w:bookmarkEnd w:id="180"/>
      <w:bookmarkEnd w:id="181"/>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 xml:space="preserve">Разработените финансови анализи обхващат богат спектър от възможни варианти, както за финансиране </w:t>
      </w:r>
      <w:r w:rsidR="00AA075B">
        <w:rPr>
          <w:rFonts w:ascii="Times New Roman" w:hAnsi="Times New Roman" w:cs="Times New Roman"/>
          <w:sz w:val="24"/>
          <w:szCs w:val="24"/>
        </w:rPr>
        <w:t xml:space="preserve">на </w:t>
      </w:r>
      <w:r w:rsidRPr="00950BDF">
        <w:rPr>
          <w:rFonts w:ascii="Times New Roman" w:hAnsi="Times New Roman" w:cs="Times New Roman"/>
          <w:sz w:val="24"/>
          <w:szCs w:val="24"/>
        </w:rPr>
        <w:t xml:space="preserve">изграждането на проекта, така и за неговата експлоатация по време на целия му жизнен цикъл. Използвани са 6 варианта на участие в капитала на проектната компания за изграждане на централата и финансиране на проекта, 5 варианта на прогнозни цени на вътрешния и регионалния пазар, където централата може да продава произведената от нея електрическа енергия, и 2 варианта на </w:t>
      </w:r>
      <w:r w:rsidRPr="00950BDF">
        <w:rPr>
          <w:rFonts w:ascii="Times New Roman" w:hAnsi="Times New Roman" w:cs="Times New Roman"/>
          <w:sz w:val="24"/>
          <w:szCs w:val="24"/>
        </w:rPr>
        <w:lastRenderedPageBreak/>
        <w:t>натоварване на мощностите. „Кръстосването“ на всички тези варианти води до общ</w:t>
      </w:r>
      <w:r w:rsidR="00AA075B">
        <w:rPr>
          <w:rFonts w:ascii="Times New Roman" w:hAnsi="Times New Roman" w:cs="Times New Roman"/>
          <w:sz w:val="24"/>
          <w:szCs w:val="24"/>
        </w:rPr>
        <w:t>о</w:t>
      </w:r>
      <w:r w:rsidR="001723D1">
        <w:rPr>
          <w:rFonts w:ascii="Times New Roman" w:hAnsi="Times New Roman" w:cs="Times New Roman"/>
          <w:sz w:val="24"/>
          <w:szCs w:val="24"/>
        </w:rPr>
        <w:t xml:space="preserve"> 9</w:t>
      </w:r>
      <w:r w:rsidRPr="00950BDF">
        <w:rPr>
          <w:rFonts w:ascii="Times New Roman" w:hAnsi="Times New Roman" w:cs="Times New Roman"/>
          <w:sz w:val="24"/>
          <w:szCs w:val="24"/>
        </w:rPr>
        <w:t>0 комбинации.</w:t>
      </w:r>
    </w:p>
    <w:p w:rsidR="00B750E9" w:rsidRDefault="00950BDF" w:rsidP="004C2EC5">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При нито едн</w:t>
      </w:r>
      <w:r w:rsidR="00AA075B">
        <w:rPr>
          <w:rFonts w:ascii="Times New Roman" w:hAnsi="Times New Roman" w:cs="Times New Roman"/>
          <w:sz w:val="24"/>
          <w:szCs w:val="24"/>
        </w:rPr>
        <w:t xml:space="preserve">а от тези </w:t>
      </w:r>
      <w:r w:rsidR="00F46156" w:rsidRPr="00F46156">
        <w:rPr>
          <w:rFonts w:ascii="Times New Roman" w:hAnsi="Times New Roman" w:cs="Times New Roman"/>
          <w:sz w:val="24"/>
          <w:szCs w:val="24"/>
        </w:rPr>
        <w:t>9</w:t>
      </w:r>
      <w:r w:rsidR="00AA075B" w:rsidRPr="00F46156">
        <w:rPr>
          <w:rFonts w:ascii="Times New Roman" w:hAnsi="Times New Roman" w:cs="Times New Roman"/>
          <w:sz w:val="24"/>
          <w:szCs w:val="24"/>
        </w:rPr>
        <w:t>0</w:t>
      </w:r>
      <w:r w:rsidR="00AA075B">
        <w:rPr>
          <w:rFonts w:ascii="Times New Roman" w:hAnsi="Times New Roman" w:cs="Times New Roman"/>
          <w:sz w:val="24"/>
          <w:szCs w:val="24"/>
        </w:rPr>
        <w:t xml:space="preserve"> комбинации</w:t>
      </w:r>
      <w:r w:rsidRPr="00950BDF">
        <w:rPr>
          <w:rFonts w:ascii="Times New Roman" w:hAnsi="Times New Roman" w:cs="Times New Roman"/>
          <w:sz w:val="24"/>
          <w:szCs w:val="24"/>
        </w:rPr>
        <w:t xml:space="preserve"> проектът не е финансово жизнеспособен. </w:t>
      </w:r>
      <w:r w:rsidR="00B5150F">
        <w:rPr>
          <w:rFonts w:ascii="Times New Roman" w:hAnsi="Times New Roman" w:cs="Times New Roman"/>
          <w:sz w:val="24"/>
          <w:szCs w:val="24"/>
        </w:rPr>
        <w:t xml:space="preserve">Това се случва и при най-високи цени, пълно натоварване и различно съотношение между собствен и привлечен капитал. </w:t>
      </w:r>
      <w:r w:rsidRPr="00950BDF">
        <w:rPr>
          <w:rFonts w:ascii="Times New Roman" w:hAnsi="Times New Roman" w:cs="Times New Roman"/>
          <w:sz w:val="24"/>
          <w:szCs w:val="24"/>
        </w:rPr>
        <w:t xml:space="preserve">Нетните парични потоци </w:t>
      </w:r>
      <w:r w:rsidR="00B5150F">
        <w:rPr>
          <w:rFonts w:ascii="Times New Roman" w:hAnsi="Times New Roman" w:cs="Times New Roman"/>
          <w:sz w:val="24"/>
          <w:szCs w:val="24"/>
        </w:rPr>
        <w:t xml:space="preserve">на проекта </w:t>
      </w:r>
      <w:r w:rsidRPr="00950BDF">
        <w:rPr>
          <w:rFonts w:ascii="Times New Roman" w:hAnsi="Times New Roman" w:cs="Times New Roman"/>
          <w:sz w:val="24"/>
          <w:szCs w:val="24"/>
        </w:rPr>
        <w:t xml:space="preserve">са отрицателни, а вътрешната му норма на възвръщаемост е под дисконтовата норма. </w:t>
      </w:r>
      <w:r w:rsidR="00B750E9" w:rsidRPr="00F94EB7">
        <w:rPr>
          <w:rFonts w:ascii="Times New Roman" w:hAnsi="Times New Roman" w:cs="Times New Roman"/>
          <w:b/>
          <w:sz w:val="24"/>
          <w:szCs w:val="24"/>
        </w:rPr>
        <w:t>За и</w:t>
      </w:r>
      <w:r w:rsidR="00B750E9" w:rsidRPr="004C2EC5">
        <w:rPr>
          <w:rFonts w:ascii="Times New Roman" w:hAnsi="Times New Roman" w:cs="Times New Roman"/>
          <w:b/>
          <w:sz w:val="24"/>
          <w:szCs w:val="24"/>
        </w:rPr>
        <w:t>люстриране на тази важна тенденция</w:t>
      </w:r>
      <w:r w:rsidR="00B750E9">
        <w:rPr>
          <w:rFonts w:ascii="Times New Roman" w:hAnsi="Times New Roman" w:cs="Times New Roman"/>
          <w:sz w:val="24"/>
          <w:szCs w:val="24"/>
        </w:rPr>
        <w:t xml:space="preserve"> са изведени резултати от представителния вариант 6</w:t>
      </w:r>
      <w:r w:rsidR="004C2EC5">
        <w:rPr>
          <w:rFonts w:ascii="Times New Roman" w:hAnsi="Times New Roman" w:cs="Times New Roman"/>
          <w:sz w:val="24"/>
          <w:szCs w:val="24"/>
        </w:rPr>
        <w:t>,</w:t>
      </w:r>
      <w:r w:rsidR="00B750E9">
        <w:rPr>
          <w:rFonts w:ascii="Times New Roman" w:hAnsi="Times New Roman" w:cs="Times New Roman"/>
          <w:sz w:val="24"/>
          <w:szCs w:val="24"/>
        </w:rPr>
        <w:t xml:space="preserve"> при който</w:t>
      </w:r>
      <w:r w:rsidR="00B750E9" w:rsidRPr="00950BDF">
        <w:rPr>
          <w:rFonts w:ascii="Times New Roman" w:hAnsi="Times New Roman" w:cs="Times New Roman"/>
          <w:sz w:val="24"/>
          <w:szCs w:val="24"/>
        </w:rPr>
        <w:t xml:space="preserve"> собственик на проекта </w:t>
      </w:r>
      <w:r w:rsidR="00B750E9">
        <w:rPr>
          <w:rFonts w:ascii="Times New Roman" w:hAnsi="Times New Roman" w:cs="Times New Roman"/>
          <w:sz w:val="24"/>
          <w:szCs w:val="24"/>
        </w:rPr>
        <w:t>е</w:t>
      </w:r>
      <w:r w:rsidR="00B750E9" w:rsidRPr="00950BDF">
        <w:rPr>
          <w:rFonts w:ascii="Times New Roman" w:hAnsi="Times New Roman" w:cs="Times New Roman"/>
          <w:sz w:val="24"/>
          <w:szCs w:val="24"/>
        </w:rPr>
        <w:t xml:space="preserve"> дружество, чийто капитал се притежава от частен инвеститор и българската държава в </w:t>
      </w:r>
      <w:r w:rsidR="00B750E9">
        <w:rPr>
          <w:rFonts w:ascii="Times New Roman" w:hAnsi="Times New Roman" w:cs="Times New Roman"/>
          <w:sz w:val="24"/>
          <w:szCs w:val="24"/>
        </w:rPr>
        <w:t>съотношение</w:t>
      </w:r>
      <w:r w:rsidR="00B750E9" w:rsidRPr="00950BDF">
        <w:rPr>
          <w:rFonts w:ascii="Times New Roman" w:hAnsi="Times New Roman" w:cs="Times New Roman"/>
          <w:sz w:val="24"/>
          <w:szCs w:val="24"/>
        </w:rPr>
        <w:t xml:space="preserve"> 62</w:t>
      </w:r>
      <w:r w:rsidR="000A609E">
        <w:rPr>
          <w:rFonts w:ascii="Times New Roman" w:hAnsi="Times New Roman" w:cs="Times New Roman"/>
          <w:sz w:val="24"/>
          <w:szCs w:val="24"/>
        </w:rPr>
        <w:t>.</w:t>
      </w:r>
      <w:r w:rsidR="00B750E9" w:rsidRPr="00950BDF">
        <w:rPr>
          <w:rFonts w:ascii="Times New Roman" w:hAnsi="Times New Roman" w:cs="Times New Roman"/>
          <w:sz w:val="24"/>
          <w:szCs w:val="24"/>
        </w:rPr>
        <w:t>8</w:t>
      </w:r>
      <w:r w:rsidR="00B750E9">
        <w:rPr>
          <w:rFonts w:ascii="Times New Roman" w:hAnsi="Times New Roman" w:cs="Times New Roman"/>
          <w:sz w:val="24"/>
          <w:szCs w:val="24"/>
        </w:rPr>
        <w:t>/</w:t>
      </w:r>
      <w:r w:rsidR="00B750E9" w:rsidRPr="00950BDF">
        <w:rPr>
          <w:rFonts w:ascii="Times New Roman" w:hAnsi="Times New Roman" w:cs="Times New Roman"/>
          <w:sz w:val="24"/>
          <w:szCs w:val="24"/>
        </w:rPr>
        <w:t>37</w:t>
      </w:r>
      <w:r w:rsidR="000A609E">
        <w:rPr>
          <w:rFonts w:ascii="Times New Roman" w:hAnsi="Times New Roman" w:cs="Times New Roman"/>
          <w:sz w:val="24"/>
          <w:szCs w:val="24"/>
        </w:rPr>
        <w:t>.</w:t>
      </w:r>
      <w:r w:rsidR="00B750E9" w:rsidRPr="00950BDF">
        <w:rPr>
          <w:rFonts w:ascii="Times New Roman" w:hAnsi="Times New Roman" w:cs="Times New Roman"/>
          <w:sz w:val="24"/>
          <w:szCs w:val="24"/>
        </w:rPr>
        <w:t xml:space="preserve">2 (делът на държавата представлява апортна вноска в размер на балансовата стойност на средствата, изразходени за проекта до 2016 г. </w:t>
      </w:r>
      <w:r w:rsidR="00B750E9">
        <w:rPr>
          <w:rFonts w:ascii="Times New Roman" w:hAnsi="Times New Roman" w:cs="Times New Roman"/>
          <w:sz w:val="24"/>
          <w:szCs w:val="24"/>
        </w:rPr>
        <w:t>–</w:t>
      </w:r>
      <w:r w:rsidR="00B750E9" w:rsidRPr="00950BDF">
        <w:rPr>
          <w:rFonts w:ascii="Times New Roman" w:hAnsi="Times New Roman" w:cs="Times New Roman"/>
          <w:sz w:val="24"/>
          <w:szCs w:val="24"/>
        </w:rPr>
        <w:t xml:space="preserve"> 1</w:t>
      </w:r>
      <w:r w:rsidR="000A609E">
        <w:rPr>
          <w:rFonts w:ascii="Times New Roman" w:hAnsi="Times New Roman" w:cs="Times New Roman"/>
          <w:sz w:val="24"/>
          <w:szCs w:val="24"/>
        </w:rPr>
        <w:t>.</w:t>
      </w:r>
      <w:r w:rsidR="00B750E9" w:rsidRPr="00950BDF">
        <w:rPr>
          <w:rFonts w:ascii="Times New Roman" w:hAnsi="Times New Roman" w:cs="Times New Roman"/>
          <w:sz w:val="24"/>
          <w:szCs w:val="24"/>
        </w:rPr>
        <w:t>17 млрд. евро), а съотношението дълг/собствен капитал е 70</w:t>
      </w:r>
      <w:r w:rsidR="00B750E9">
        <w:rPr>
          <w:rFonts w:ascii="Times New Roman" w:hAnsi="Times New Roman" w:cs="Times New Roman"/>
          <w:sz w:val="24"/>
          <w:szCs w:val="24"/>
        </w:rPr>
        <w:t>:</w:t>
      </w:r>
      <w:r w:rsidR="00B750E9" w:rsidRPr="00950BDF">
        <w:rPr>
          <w:rFonts w:ascii="Times New Roman" w:hAnsi="Times New Roman" w:cs="Times New Roman"/>
          <w:sz w:val="24"/>
          <w:szCs w:val="24"/>
        </w:rPr>
        <w:t>30.</w:t>
      </w:r>
      <w:r w:rsidR="00B750E9">
        <w:rPr>
          <w:rFonts w:ascii="Times New Roman" w:hAnsi="Times New Roman" w:cs="Times New Roman"/>
          <w:sz w:val="24"/>
          <w:szCs w:val="24"/>
        </w:rPr>
        <w:t xml:space="preserve"> Изборът на този вариант се аргументира с факта, че това би бил предпочитания от един потенциален инвеститор вариант, тъй като при него доходността от собствения капитал е най-висока, въпреки че е под разглежданите еталонни стойности, които биха направили проекта привлекателен за него.</w:t>
      </w:r>
    </w:p>
    <w:p w:rsidR="00B750E9" w:rsidRDefault="00B750E9" w:rsidP="00B750E9">
      <w:pPr>
        <w:jc w:val="both"/>
        <w:rPr>
          <w:rFonts w:ascii="Times New Roman" w:hAnsi="Times New Roman" w:cs="Times New Roman"/>
          <w:sz w:val="24"/>
          <w:szCs w:val="24"/>
        </w:rPr>
      </w:pPr>
      <w:r>
        <w:rPr>
          <w:rFonts w:ascii="Times New Roman" w:hAnsi="Times New Roman" w:cs="Times New Roman"/>
          <w:sz w:val="24"/>
          <w:szCs w:val="24"/>
        </w:rPr>
        <w:t>Алгоритъмът за изчисляване на потенциалния недостиг на средства е следният:</w:t>
      </w:r>
    </w:p>
    <w:p w:rsidR="00B750E9" w:rsidRDefault="00B750E9" w:rsidP="002A32DA">
      <w:pPr>
        <w:pStyle w:val="ListParagraph"/>
        <w:numPr>
          <w:ilvl w:val="0"/>
          <w:numId w:val="30"/>
        </w:numPr>
        <w:ind w:left="284" w:hanging="284"/>
        <w:jc w:val="both"/>
        <w:rPr>
          <w:rFonts w:ascii="Times New Roman" w:hAnsi="Times New Roman" w:cs="Times New Roman"/>
          <w:sz w:val="24"/>
          <w:szCs w:val="24"/>
        </w:rPr>
      </w:pPr>
      <w:r>
        <w:rPr>
          <w:rFonts w:ascii="Times New Roman" w:hAnsi="Times New Roman" w:cs="Times New Roman"/>
          <w:sz w:val="24"/>
          <w:szCs w:val="24"/>
        </w:rPr>
        <w:t>Изчислени са средни разходи на единица произведена електроенергия за всяка една година от периода на експлоатация. Тези средни разходи включват: разходи за експлоатация и поддръжка, разходи за отчисления във фондовете РАО, ИЕЯС и СЕС, амортизации, данъци, лихви и погашения по главници</w:t>
      </w:r>
      <w:r w:rsidR="00B63AD4">
        <w:rPr>
          <w:rStyle w:val="FootnoteReference"/>
          <w:rFonts w:ascii="Times New Roman" w:hAnsi="Times New Roman" w:cs="Times New Roman"/>
          <w:sz w:val="24"/>
          <w:szCs w:val="24"/>
        </w:rPr>
        <w:footnoteReference w:id="11"/>
      </w:r>
      <w:r>
        <w:rPr>
          <w:rFonts w:ascii="Times New Roman" w:hAnsi="Times New Roman" w:cs="Times New Roman"/>
          <w:sz w:val="24"/>
          <w:szCs w:val="24"/>
        </w:rPr>
        <w:t>.</w:t>
      </w:r>
    </w:p>
    <w:p w:rsidR="004C2EC5" w:rsidRDefault="004C2EC5" w:rsidP="002A32DA">
      <w:pPr>
        <w:pStyle w:val="ListParagraph"/>
        <w:numPr>
          <w:ilvl w:val="0"/>
          <w:numId w:val="30"/>
        </w:numPr>
        <w:ind w:left="284" w:hanging="284"/>
        <w:jc w:val="both"/>
        <w:rPr>
          <w:rFonts w:ascii="Times New Roman" w:hAnsi="Times New Roman" w:cs="Times New Roman"/>
          <w:sz w:val="24"/>
          <w:szCs w:val="24"/>
        </w:rPr>
      </w:pPr>
      <w:r w:rsidRPr="004C2EC5">
        <w:rPr>
          <w:rFonts w:ascii="Times New Roman" w:hAnsi="Times New Roman" w:cs="Times New Roman"/>
          <w:sz w:val="24"/>
          <w:szCs w:val="24"/>
        </w:rPr>
        <w:t xml:space="preserve">Изчислена е разликата между средните разходи по т.1 и приходите от произведената електрическа енергия, обвързани с ценовите сценарии за периода на експлоатация. Приходите по години са получени като количеството произведена електрическа енергия за съответната година е умножена по цената от съответния сценарии за същата година. Превишенията на средните разходи над приходите от продажбите за съответната година води до отрицателни стойности, което представлява </w:t>
      </w:r>
      <w:r w:rsidR="00EE23EE">
        <w:rPr>
          <w:rFonts w:ascii="Times New Roman" w:hAnsi="Times New Roman" w:cs="Times New Roman"/>
          <w:sz w:val="24"/>
          <w:szCs w:val="24"/>
        </w:rPr>
        <w:t>потенциални загуби от дейността</w:t>
      </w:r>
      <w:r w:rsidR="00EE23EE">
        <w:rPr>
          <w:rFonts w:ascii="Times New Roman" w:hAnsi="Times New Roman" w:cs="Times New Roman"/>
          <w:sz w:val="24"/>
          <w:szCs w:val="24"/>
          <w:lang w:val="en-US"/>
        </w:rPr>
        <w:t xml:space="preserve"> </w:t>
      </w:r>
      <w:r w:rsidR="00233DB8">
        <w:rPr>
          <w:rFonts w:ascii="Times New Roman" w:hAnsi="Times New Roman" w:cs="Times New Roman"/>
          <w:sz w:val="24"/>
          <w:szCs w:val="24"/>
        </w:rPr>
        <w:t>(</w:t>
      </w:r>
      <w:r w:rsidR="001D431C">
        <w:rPr>
          <w:rFonts w:ascii="Times New Roman" w:hAnsi="Times New Roman" w:cs="Times New Roman"/>
          <w:sz w:val="24"/>
          <w:szCs w:val="24"/>
        </w:rPr>
        <w:t xml:space="preserve">Таблица </w:t>
      </w:r>
      <w:r w:rsidR="001D431C">
        <w:rPr>
          <w:rFonts w:ascii="Times New Roman" w:hAnsi="Times New Roman" w:cs="Times New Roman"/>
          <w:sz w:val="24"/>
          <w:szCs w:val="24"/>
          <w:lang w:val="en-US"/>
        </w:rPr>
        <w:t>V</w:t>
      </w:r>
      <w:r w:rsidR="00EE23EE">
        <w:rPr>
          <w:rFonts w:ascii="Times New Roman" w:hAnsi="Times New Roman" w:cs="Times New Roman"/>
          <w:sz w:val="24"/>
          <w:szCs w:val="24"/>
        </w:rPr>
        <w:t>.</w:t>
      </w:r>
      <w:r w:rsidR="00EE23EE">
        <w:rPr>
          <w:rFonts w:ascii="Times New Roman" w:hAnsi="Times New Roman" w:cs="Times New Roman"/>
          <w:sz w:val="24"/>
          <w:szCs w:val="24"/>
          <w:lang w:val="en-US"/>
        </w:rPr>
        <w:t>21</w:t>
      </w:r>
      <w:r w:rsidR="00233DB8">
        <w:rPr>
          <w:rFonts w:ascii="Times New Roman" w:hAnsi="Times New Roman" w:cs="Times New Roman"/>
          <w:sz w:val="24"/>
          <w:szCs w:val="24"/>
        </w:rPr>
        <w:t>).</w:t>
      </w:r>
    </w:p>
    <w:p w:rsidR="00F44EBF" w:rsidRPr="00F44EBF" w:rsidRDefault="00F44EBF" w:rsidP="00F44EBF">
      <w:pPr>
        <w:spacing w:before="120" w:after="120" w:line="240" w:lineRule="auto"/>
        <w:jc w:val="both"/>
        <w:rPr>
          <w:rFonts w:ascii="Times New Roman" w:hAnsi="Times New Roman" w:cs="Times New Roman"/>
          <w:b/>
          <w:sz w:val="40"/>
          <w:szCs w:val="24"/>
        </w:rPr>
      </w:pPr>
      <w:r w:rsidRPr="00F44EBF">
        <w:rPr>
          <w:rFonts w:ascii="Times New Roman" w:hAnsi="Times New Roman" w:cs="Times New Roman"/>
          <w:b/>
          <w:sz w:val="24"/>
          <w:szCs w:val="24"/>
        </w:rPr>
        <w:t>Забележка: Не е проиграван с финансовия модел за АЕЦ „Белене” сценарий за 100% държавно участие.</w:t>
      </w:r>
    </w:p>
    <w:p w:rsidR="00F44EBF" w:rsidRPr="00F44EBF" w:rsidRDefault="00F44EBF" w:rsidP="00F44EBF">
      <w:pPr>
        <w:jc w:val="both"/>
        <w:rPr>
          <w:rFonts w:ascii="Times New Roman" w:hAnsi="Times New Roman" w:cs="Times New Roman"/>
          <w:sz w:val="24"/>
          <w:szCs w:val="24"/>
        </w:rPr>
      </w:pPr>
      <w:r>
        <w:rPr>
          <w:rFonts w:ascii="Times New Roman" w:hAnsi="Times New Roman" w:cs="Times New Roman"/>
          <w:sz w:val="24"/>
          <w:szCs w:val="24"/>
        </w:rPr>
        <w:t>А</w:t>
      </w:r>
      <w:r w:rsidRPr="00950BDF">
        <w:rPr>
          <w:rFonts w:ascii="Times New Roman" w:hAnsi="Times New Roman" w:cs="Times New Roman"/>
          <w:sz w:val="24"/>
          <w:szCs w:val="24"/>
        </w:rPr>
        <w:t xml:space="preserve">ко се случат направените допускания от техническо, финансово и икономическо естество, проектът не трябва да се реализира. При съществени промени в тези параметри, финансовите резултати от проекта могат да претърпят </w:t>
      </w:r>
      <w:r>
        <w:rPr>
          <w:rFonts w:ascii="Times New Roman" w:hAnsi="Times New Roman" w:cs="Times New Roman"/>
          <w:sz w:val="24"/>
          <w:szCs w:val="24"/>
        </w:rPr>
        <w:t>корекции</w:t>
      </w:r>
      <w:r w:rsidRPr="00950BDF">
        <w:rPr>
          <w:rFonts w:ascii="Times New Roman" w:hAnsi="Times New Roman" w:cs="Times New Roman"/>
          <w:sz w:val="24"/>
          <w:szCs w:val="24"/>
        </w:rPr>
        <w:t>, ко</w:t>
      </w:r>
      <w:r>
        <w:rPr>
          <w:rFonts w:ascii="Times New Roman" w:hAnsi="Times New Roman" w:cs="Times New Roman"/>
          <w:sz w:val="24"/>
          <w:szCs w:val="24"/>
        </w:rPr>
        <w:t>и</w:t>
      </w:r>
      <w:r w:rsidRPr="00950BDF">
        <w:rPr>
          <w:rFonts w:ascii="Times New Roman" w:hAnsi="Times New Roman" w:cs="Times New Roman"/>
          <w:sz w:val="24"/>
          <w:szCs w:val="24"/>
        </w:rPr>
        <w:t>то да го направят финансово жизнеспособен и привлекателен за изпълнение.</w:t>
      </w:r>
    </w:p>
    <w:p w:rsidR="00EE23EE" w:rsidRDefault="00EE23EE" w:rsidP="00EE23EE">
      <w:pPr>
        <w:spacing w:before="120" w:after="120"/>
        <w:ind w:right="480"/>
        <w:rPr>
          <w:rFonts w:ascii="Times New Roman" w:hAnsi="Times New Roman" w:cs="Times New Roman"/>
          <w:sz w:val="24"/>
          <w:szCs w:val="24"/>
        </w:rPr>
      </w:pPr>
    </w:p>
    <w:p w:rsidR="00233DB8" w:rsidRDefault="00233DB8" w:rsidP="00EE23EE">
      <w:pPr>
        <w:spacing w:before="120" w:after="120"/>
        <w:ind w:right="480"/>
        <w:rPr>
          <w:rFonts w:ascii="Times New Roman" w:hAnsi="Times New Roman" w:cs="Times New Roman"/>
          <w:sz w:val="24"/>
          <w:szCs w:val="24"/>
        </w:rPr>
        <w:sectPr w:rsidR="00233DB8" w:rsidSect="00A534EE">
          <w:footerReference w:type="default" r:id="rId26"/>
          <w:pgSz w:w="11906" w:h="16838"/>
          <w:pgMar w:top="1418" w:right="1418" w:bottom="1418" w:left="1418" w:header="709" w:footer="709" w:gutter="0"/>
          <w:cols w:space="708"/>
          <w:docGrid w:linePitch="360"/>
        </w:sectPr>
      </w:pPr>
    </w:p>
    <w:p w:rsidR="00B750E9" w:rsidRPr="00EA6281" w:rsidRDefault="00EE23EE" w:rsidP="00233DB8">
      <w:pPr>
        <w:spacing w:before="120" w:after="120"/>
        <w:jc w:val="center"/>
        <w:rPr>
          <w:rFonts w:ascii="Times New Roman" w:hAnsi="Times New Roman" w:cs="Times New Roman"/>
          <w:b/>
          <w:sz w:val="24"/>
          <w:szCs w:val="24"/>
        </w:rPr>
      </w:pPr>
      <w:r w:rsidRPr="00EA6281">
        <w:rPr>
          <w:rFonts w:ascii="Times New Roman" w:hAnsi="Times New Roman" w:cs="Times New Roman"/>
          <w:b/>
          <w:sz w:val="24"/>
          <w:szCs w:val="24"/>
        </w:rPr>
        <w:lastRenderedPageBreak/>
        <w:t xml:space="preserve">Таблица </w:t>
      </w:r>
      <w:r w:rsidRPr="00EA6281">
        <w:rPr>
          <w:rFonts w:ascii="Times New Roman" w:hAnsi="Times New Roman" w:cs="Times New Roman"/>
          <w:b/>
          <w:sz w:val="24"/>
          <w:szCs w:val="24"/>
          <w:lang w:val="en-US"/>
        </w:rPr>
        <w:t>V.21</w:t>
      </w:r>
      <w:r w:rsidR="00233DB8" w:rsidRPr="00EA6281">
        <w:rPr>
          <w:rFonts w:ascii="Times New Roman" w:hAnsi="Times New Roman" w:cs="Times New Roman"/>
          <w:b/>
          <w:sz w:val="24"/>
          <w:szCs w:val="24"/>
        </w:rPr>
        <w:t>. Разлики между приходи и разходи, при различните ценови сценарии по години в периода на експлоатация, в млн. евро</w:t>
      </w:r>
    </w:p>
    <w:tbl>
      <w:tblPr>
        <w:tblW w:w="0" w:type="auto"/>
        <w:tblInd w:w="97" w:type="dxa"/>
        <w:tblLook w:val="04A0" w:firstRow="1" w:lastRow="0" w:firstColumn="1" w:lastColumn="0" w:noHBand="0" w:noVBand="1"/>
      </w:tblPr>
      <w:tblGrid>
        <w:gridCol w:w="3174"/>
        <w:gridCol w:w="496"/>
        <w:gridCol w:w="496"/>
        <w:gridCol w:w="496"/>
        <w:gridCol w:w="496"/>
        <w:gridCol w:w="496"/>
        <w:gridCol w:w="496"/>
        <w:gridCol w:w="496"/>
        <w:gridCol w:w="496"/>
        <w:gridCol w:w="496"/>
        <w:gridCol w:w="496"/>
        <w:gridCol w:w="496"/>
        <w:gridCol w:w="496"/>
        <w:gridCol w:w="496"/>
        <w:gridCol w:w="496"/>
        <w:gridCol w:w="496"/>
        <w:gridCol w:w="531"/>
        <w:gridCol w:w="496"/>
        <w:gridCol w:w="496"/>
        <w:gridCol w:w="496"/>
        <w:gridCol w:w="496"/>
        <w:gridCol w:w="496"/>
        <w:gridCol w:w="496"/>
      </w:tblGrid>
      <w:tr w:rsidR="00E657AB" w:rsidRPr="00E657AB" w:rsidTr="00E657AB">
        <w:tc>
          <w:tcPr>
            <w:tcW w:w="0" w:type="auto"/>
            <w:tcBorders>
              <w:top w:val="single" w:sz="12" w:space="0" w:color="auto"/>
              <w:left w:val="single" w:sz="12" w:space="0" w:color="auto"/>
              <w:bottom w:val="single" w:sz="4" w:space="0" w:color="auto"/>
              <w:right w:val="single" w:sz="12" w:space="0" w:color="auto"/>
            </w:tcBorders>
            <w:shd w:val="clear" w:color="000000" w:fill="FFFF00"/>
            <w:vAlign w:val="center"/>
            <w:hideMark/>
          </w:tcPr>
          <w:p w:rsidR="00E657AB" w:rsidRPr="00E657AB" w:rsidRDefault="00E657AB" w:rsidP="00E657AB">
            <w:pPr>
              <w:spacing w:after="0" w:line="240" w:lineRule="auto"/>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 </w:t>
            </w:r>
          </w:p>
        </w:tc>
        <w:tc>
          <w:tcPr>
            <w:tcW w:w="0" w:type="auto"/>
            <w:tcBorders>
              <w:top w:val="single" w:sz="12" w:space="0" w:color="auto"/>
              <w:left w:val="single" w:sz="12" w:space="0" w:color="auto"/>
              <w:bottom w:val="single" w:sz="4" w:space="0" w:color="auto"/>
              <w:right w:val="single" w:sz="4" w:space="0" w:color="auto"/>
            </w:tcBorders>
            <w:shd w:val="clear" w:color="000000" w:fill="C5D9F1"/>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2027</w:t>
            </w:r>
          </w:p>
        </w:tc>
        <w:tc>
          <w:tcPr>
            <w:tcW w:w="0" w:type="auto"/>
            <w:tcBorders>
              <w:top w:val="single" w:sz="12" w:space="0" w:color="auto"/>
              <w:left w:val="nil"/>
              <w:bottom w:val="single" w:sz="4" w:space="0" w:color="auto"/>
              <w:right w:val="single" w:sz="4" w:space="0" w:color="auto"/>
            </w:tcBorders>
            <w:shd w:val="clear" w:color="000000" w:fill="D7E4BC"/>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2028</w:t>
            </w:r>
          </w:p>
        </w:tc>
        <w:tc>
          <w:tcPr>
            <w:tcW w:w="0" w:type="auto"/>
            <w:tcBorders>
              <w:top w:val="single" w:sz="12" w:space="0" w:color="auto"/>
              <w:left w:val="nil"/>
              <w:bottom w:val="single" w:sz="4" w:space="0" w:color="auto"/>
              <w:right w:val="single" w:sz="4" w:space="0" w:color="auto"/>
            </w:tcBorders>
            <w:shd w:val="clear" w:color="000000" w:fill="D7E4BC"/>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2029</w:t>
            </w:r>
          </w:p>
        </w:tc>
        <w:tc>
          <w:tcPr>
            <w:tcW w:w="0" w:type="auto"/>
            <w:tcBorders>
              <w:top w:val="single" w:sz="12" w:space="0" w:color="auto"/>
              <w:left w:val="nil"/>
              <w:bottom w:val="single" w:sz="4" w:space="0" w:color="auto"/>
              <w:right w:val="single" w:sz="4" w:space="0" w:color="auto"/>
            </w:tcBorders>
            <w:shd w:val="clear" w:color="000000" w:fill="D7E4BC"/>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2030</w:t>
            </w:r>
          </w:p>
        </w:tc>
        <w:tc>
          <w:tcPr>
            <w:tcW w:w="0" w:type="auto"/>
            <w:tcBorders>
              <w:top w:val="single" w:sz="12" w:space="0" w:color="auto"/>
              <w:left w:val="nil"/>
              <w:bottom w:val="single" w:sz="4" w:space="0" w:color="auto"/>
              <w:right w:val="single" w:sz="4" w:space="0" w:color="auto"/>
            </w:tcBorders>
            <w:shd w:val="clear" w:color="000000" w:fill="D7E4BC"/>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2031</w:t>
            </w:r>
          </w:p>
        </w:tc>
        <w:tc>
          <w:tcPr>
            <w:tcW w:w="0" w:type="auto"/>
            <w:tcBorders>
              <w:top w:val="single" w:sz="12" w:space="0" w:color="auto"/>
              <w:left w:val="nil"/>
              <w:bottom w:val="single" w:sz="4" w:space="0" w:color="auto"/>
              <w:right w:val="single" w:sz="4" w:space="0" w:color="auto"/>
            </w:tcBorders>
            <w:shd w:val="clear" w:color="000000" w:fill="D7E4BC"/>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2032</w:t>
            </w:r>
          </w:p>
        </w:tc>
        <w:tc>
          <w:tcPr>
            <w:tcW w:w="0" w:type="auto"/>
            <w:tcBorders>
              <w:top w:val="single" w:sz="12" w:space="0" w:color="auto"/>
              <w:left w:val="nil"/>
              <w:bottom w:val="single" w:sz="4" w:space="0" w:color="auto"/>
              <w:right w:val="single" w:sz="4" w:space="0" w:color="auto"/>
            </w:tcBorders>
            <w:shd w:val="clear" w:color="000000" w:fill="D7E4BC"/>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2033</w:t>
            </w:r>
          </w:p>
        </w:tc>
        <w:tc>
          <w:tcPr>
            <w:tcW w:w="0" w:type="auto"/>
            <w:tcBorders>
              <w:top w:val="single" w:sz="12" w:space="0" w:color="auto"/>
              <w:left w:val="nil"/>
              <w:bottom w:val="single" w:sz="4" w:space="0" w:color="auto"/>
              <w:right w:val="single" w:sz="4" w:space="0" w:color="auto"/>
            </w:tcBorders>
            <w:shd w:val="clear" w:color="000000" w:fill="D7E4BC"/>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2034</w:t>
            </w:r>
          </w:p>
        </w:tc>
        <w:tc>
          <w:tcPr>
            <w:tcW w:w="0" w:type="auto"/>
            <w:tcBorders>
              <w:top w:val="single" w:sz="12" w:space="0" w:color="auto"/>
              <w:left w:val="nil"/>
              <w:bottom w:val="single" w:sz="4" w:space="0" w:color="auto"/>
              <w:right w:val="single" w:sz="4" w:space="0" w:color="auto"/>
            </w:tcBorders>
            <w:shd w:val="clear" w:color="000000" w:fill="D7E4BC"/>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2035</w:t>
            </w:r>
          </w:p>
        </w:tc>
        <w:tc>
          <w:tcPr>
            <w:tcW w:w="0" w:type="auto"/>
            <w:tcBorders>
              <w:top w:val="single" w:sz="12" w:space="0" w:color="auto"/>
              <w:left w:val="nil"/>
              <w:bottom w:val="single" w:sz="4" w:space="0" w:color="auto"/>
              <w:right w:val="single" w:sz="4" w:space="0" w:color="auto"/>
            </w:tcBorders>
            <w:shd w:val="clear" w:color="000000" w:fill="D7E4BC"/>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2036</w:t>
            </w:r>
          </w:p>
        </w:tc>
        <w:tc>
          <w:tcPr>
            <w:tcW w:w="0" w:type="auto"/>
            <w:tcBorders>
              <w:top w:val="single" w:sz="12" w:space="0" w:color="auto"/>
              <w:left w:val="nil"/>
              <w:bottom w:val="single" w:sz="4" w:space="0" w:color="auto"/>
              <w:right w:val="single" w:sz="4" w:space="0" w:color="auto"/>
            </w:tcBorders>
            <w:shd w:val="clear" w:color="000000" w:fill="D7E4BC"/>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2037</w:t>
            </w:r>
          </w:p>
        </w:tc>
        <w:tc>
          <w:tcPr>
            <w:tcW w:w="0" w:type="auto"/>
            <w:tcBorders>
              <w:top w:val="single" w:sz="12" w:space="0" w:color="auto"/>
              <w:left w:val="nil"/>
              <w:bottom w:val="single" w:sz="4" w:space="0" w:color="auto"/>
              <w:right w:val="single" w:sz="4" w:space="0" w:color="auto"/>
            </w:tcBorders>
            <w:shd w:val="clear" w:color="000000" w:fill="D7E4BC"/>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2038</w:t>
            </w:r>
          </w:p>
        </w:tc>
        <w:tc>
          <w:tcPr>
            <w:tcW w:w="0" w:type="auto"/>
            <w:tcBorders>
              <w:top w:val="single" w:sz="12" w:space="0" w:color="auto"/>
              <w:left w:val="nil"/>
              <w:bottom w:val="single" w:sz="4" w:space="0" w:color="auto"/>
              <w:right w:val="single" w:sz="4" w:space="0" w:color="auto"/>
            </w:tcBorders>
            <w:shd w:val="clear" w:color="000000" w:fill="D7E4BC"/>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2039</w:t>
            </w:r>
          </w:p>
        </w:tc>
        <w:tc>
          <w:tcPr>
            <w:tcW w:w="0" w:type="auto"/>
            <w:tcBorders>
              <w:top w:val="single" w:sz="12" w:space="0" w:color="auto"/>
              <w:left w:val="nil"/>
              <w:bottom w:val="single" w:sz="4" w:space="0" w:color="auto"/>
              <w:right w:val="single" w:sz="4" w:space="0" w:color="auto"/>
            </w:tcBorders>
            <w:shd w:val="clear" w:color="000000" w:fill="D7E4BC"/>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2040</w:t>
            </w:r>
          </w:p>
        </w:tc>
        <w:tc>
          <w:tcPr>
            <w:tcW w:w="0" w:type="auto"/>
            <w:tcBorders>
              <w:top w:val="single" w:sz="12" w:space="0" w:color="auto"/>
              <w:left w:val="nil"/>
              <w:bottom w:val="single" w:sz="4" w:space="0" w:color="auto"/>
              <w:right w:val="single" w:sz="4" w:space="0" w:color="auto"/>
            </w:tcBorders>
            <w:shd w:val="clear" w:color="000000" w:fill="D7E4BC"/>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2041</w:t>
            </w:r>
          </w:p>
        </w:tc>
        <w:tc>
          <w:tcPr>
            <w:tcW w:w="0" w:type="auto"/>
            <w:tcBorders>
              <w:top w:val="single" w:sz="12" w:space="0" w:color="auto"/>
              <w:left w:val="nil"/>
              <w:bottom w:val="single" w:sz="4" w:space="0" w:color="auto"/>
              <w:right w:val="single" w:sz="4" w:space="0" w:color="auto"/>
            </w:tcBorders>
            <w:shd w:val="clear" w:color="000000" w:fill="D7E4BC"/>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2042</w:t>
            </w:r>
          </w:p>
        </w:tc>
        <w:tc>
          <w:tcPr>
            <w:tcW w:w="0" w:type="auto"/>
            <w:tcBorders>
              <w:top w:val="single" w:sz="12" w:space="0" w:color="auto"/>
              <w:left w:val="nil"/>
              <w:bottom w:val="single" w:sz="4" w:space="0" w:color="auto"/>
              <w:right w:val="single" w:sz="4" w:space="0" w:color="auto"/>
            </w:tcBorders>
            <w:shd w:val="clear" w:color="000000" w:fill="D7E4BC"/>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2043</w:t>
            </w:r>
          </w:p>
        </w:tc>
        <w:tc>
          <w:tcPr>
            <w:tcW w:w="0" w:type="auto"/>
            <w:tcBorders>
              <w:top w:val="single" w:sz="12" w:space="0" w:color="auto"/>
              <w:left w:val="nil"/>
              <w:bottom w:val="single" w:sz="4" w:space="0" w:color="auto"/>
              <w:right w:val="single" w:sz="4" w:space="0" w:color="auto"/>
            </w:tcBorders>
            <w:shd w:val="clear" w:color="000000" w:fill="D7E4BC"/>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2044</w:t>
            </w:r>
          </w:p>
        </w:tc>
        <w:tc>
          <w:tcPr>
            <w:tcW w:w="0" w:type="auto"/>
            <w:tcBorders>
              <w:top w:val="single" w:sz="12" w:space="0" w:color="auto"/>
              <w:left w:val="nil"/>
              <w:bottom w:val="single" w:sz="4" w:space="0" w:color="auto"/>
              <w:right w:val="single" w:sz="4" w:space="0" w:color="auto"/>
            </w:tcBorders>
            <w:shd w:val="clear" w:color="000000" w:fill="D7E4BC"/>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2045</w:t>
            </w:r>
          </w:p>
        </w:tc>
        <w:tc>
          <w:tcPr>
            <w:tcW w:w="0" w:type="auto"/>
            <w:tcBorders>
              <w:top w:val="single" w:sz="12" w:space="0" w:color="auto"/>
              <w:left w:val="nil"/>
              <w:bottom w:val="single" w:sz="4" w:space="0" w:color="auto"/>
              <w:right w:val="single" w:sz="4" w:space="0" w:color="auto"/>
            </w:tcBorders>
            <w:shd w:val="clear" w:color="000000" w:fill="D7E4BC"/>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2046</w:t>
            </w:r>
          </w:p>
        </w:tc>
        <w:tc>
          <w:tcPr>
            <w:tcW w:w="0" w:type="auto"/>
            <w:tcBorders>
              <w:top w:val="single" w:sz="12" w:space="0" w:color="auto"/>
              <w:left w:val="nil"/>
              <w:bottom w:val="single" w:sz="4" w:space="0" w:color="auto"/>
              <w:right w:val="single" w:sz="4" w:space="0" w:color="auto"/>
            </w:tcBorders>
            <w:shd w:val="clear" w:color="000000" w:fill="D7E4BC"/>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2047</w:t>
            </w:r>
          </w:p>
        </w:tc>
        <w:tc>
          <w:tcPr>
            <w:tcW w:w="0" w:type="auto"/>
            <w:tcBorders>
              <w:top w:val="single" w:sz="12" w:space="0" w:color="auto"/>
              <w:left w:val="nil"/>
              <w:bottom w:val="single" w:sz="4" w:space="0" w:color="auto"/>
              <w:right w:val="single" w:sz="12" w:space="0" w:color="auto"/>
            </w:tcBorders>
            <w:shd w:val="clear" w:color="000000" w:fill="D7E4BC"/>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2048</w:t>
            </w:r>
          </w:p>
        </w:tc>
      </w:tr>
      <w:tr w:rsidR="00E657AB" w:rsidRPr="00E657AB" w:rsidTr="00E657AB">
        <w:tc>
          <w:tcPr>
            <w:tcW w:w="0" w:type="auto"/>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 xml:space="preserve">Цена на електроенергия </w:t>
            </w:r>
            <w:r>
              <w:rPr>
                <w:rFonts w:ascii="Times New Roman" w:eastAsia="Times New Roman" w:hAnsi="Times New Roman" w:cs="Times New Roman"/>
                <w:color w:val="000000"/>
                <w:sz w:val="14"/>
                <w:szCs w:val="14"/>
                <w:lang w:val="en-US"/>
              </w:rPr>
              <w:t>–</w:t>
            </w:r>
            <w:r w:rsidRPr="00E657AB">
              <w:rPr>
                <w:rFonts w:ascii="Times New Roman" w:eastAsia="Times New Roman" w:hAnsi="Times New Roman" w:cs="Times New Roman"/>
                <w:color w:val="000000"/>
                <w:sz w:val="14"/>
                <w:szCs w:val="14"/>
                <w:lang w:val="en-US"/>
              </w:rPr>
              <w:t xml:space="preserve"> максимален сценарий</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234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-248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-474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-441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-403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-359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-343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-349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-282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-228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-231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-186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-168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-121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23</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398</w:t>
            </w:r>
          </w:p>
        </w:tc>
      </w:tr>
      <w:tr w:rsidR="00E657AB" w:rsidRPr="00E657AB" w:rsidTr="00E657AB">
        <w:tc>
          <w:tcPr>
            <w:tcW w:w="0" w:type="auto"/>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 xml:space="preserve">Цена на електроенергия </w:t>
            </w:r>
            <w:r>
              <w:rPr>
                <w:rFonts w:ascii="Times New Roman" w:eastAsia="Times New Roman" w:hAnsi="Times New Roman" w:cs="Times New Roman"/>
                <w:color w:val="000000"/>
                <w:sz w:val="14"/>
                <w:szCs w:val="14"/>
                <w:lang w:val="en-US"/>
              </w:rPr>
              <w:t>–</w:t>
            </w:r>
            <w:r w:rsidRPr="00E657AB">
              <w:rPr>
                <w:rFonts w:ascii="Times New Roman" w:eastAsia="Times New Roman" w:hAnsi="Times New Roman" w:cs="Times New Roman"/>
                <w:color w:val="000000"/>
                <w:sz w:val="14"/>
                <w:szCs w:val="14"/>
                <w:lang w:val="en-US"/>
              </w:rPr>
              <w:t xml:space="preserve"> минимален сценарий</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152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-412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-638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-650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-615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-578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-562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-561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-543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-509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-510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-474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-457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-419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-394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-386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-360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-312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-287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-282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-277</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78</w:t>
            </w:r>
          </w:p>
        </w:tc>
      </w:tr>
      <w:tr w:rsidR="00E657AB" w:rsidRPr="00E657AB" w:rsidTr="00E657AB">
        <w:tc>
          <w:tcPr>
            <w:tcW w:w="0" w:type="auto"/>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 xml:space="preserve">Цена на електроенергия </w:t>
            </w:r>
            <w:r>
              <w:rPr>
                <w:rFonts w:ascii="Times New Roman" w:eastAsia="Times New Roman" w:hAnsi="Times New Roman" w:cs="Times New Roman"/>
                <w:color w:val="000000"/>
                <w:sz w:val="14"/>
                <w:szCs w:val="14"/>
                <w:lang w:val="en-US"/>
              </w:rPr>
              <w:t>–</w:t>
            </w:r>
            <w:r w:rsidRPr="00E657AB">
              <w:rPr>
                <w:rFonts w:ascii="Times New Roman" w:eastAsia="Times New Roman" w:hAnsi="Times New Roman" w:cs="Times New Roman"/>
                <w:color w:val="000000"/>
                <w:sz w:val="14"/>
                <w:szCs w:val="14"/>
                <w:lang w:val="en-US"/>
              </w:rPr>
              <w:t xml:space="preserve"> среден сценарий</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193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-330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-556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-545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-509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-468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-452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-455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-412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-368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-371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-330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-313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-270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-244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-239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-211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-157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-131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-133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-127</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238</w:t>
            </w:r>
          </w:p>
        </w:tc>
      </w:tr>
      <w:tr w:rsidR="00E657AB" w:rsidRPr="00E657AB" w:rsidTr="00E657AB">
        <w:tc>
          <w:tcPr>
            <w:tcW w:w="0" w:type="auto"/>
            <w:tcBorders>
              <w:top w:val="single" w:sz="4" w:space="0" w:color="auto"/>
              <w:left w:val="single" w:sz="12" w:space="0" w:color="auto"/>
              <w:bottom w:val="single" w:sz="4" w:space="0" w:color="auto"/>
              <w:right w:val="single" w:sz="12" w:space="0" w:color="auto"/>
            </w:tcBorders>
            <w:shd w:val="clear" w:color="000000" w:fill="FFFFFF"/>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 xml:space="preserve">Среднопретеглена регионална цена само за България, Гърция, Румъния и Унгария </w:t>
            </w:r>
            <w:r>
              <w:rPr>
                <w:rFonts w:ascii="Times New Roman" w:eastAsia="Times New Roman" w:hAnsi="Times New Roman" w:cs="Times New Roman"/>
                <w:color w:val="000000"/>
                <w:sz w:val="14"/>
                <w:szCs w:val="14"/>
                <w:lang w:val="en-US"/>
              </w:rPr>
              <w:t>–</w:t>
            </w:r>
            <w:r w:rsidRPr="00E657AB">
              <w:rPr>
                <w:rFonts w:ascii="Times New Roman" w:eastAsia="Times New Roman" w:hAnsi="Times New Roman" w:cs="Times New Roman"/>
                <w:color w:val="000000"/>
                <w:sz w:val="14"/>
                <w:szCs w:val="14"/>
                <w:lang w:val="en-US"/>
              </w:rPr>
              <w:t xml:space="preserve"> Сценарий 3</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219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-275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-499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-514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-465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-420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-402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-404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-366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-329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-323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-279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-259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-212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-186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-182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-154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-76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-69</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300</w:t>
            </w:r>
          </w:p>
        </w:tc>
      </w:tr>
      <w:tr w:rsidR="00E657AB" w:rsidRPr="00E657AB" w:rsidTr="00E657AB">
        <w:tc>
          <w:tcPr>
            <w:tcW w:w="0" w:type="auto"/>
            <w:tcBorders>
              <w:top w:val="single" w:sz="4" w:space="0" w:color="auto"/>
              <w:left w:val="single" w:sz="12" w:space="0" w:color="auto"/>
              <w:bottom w:val="single" w:sz="12" w:space="0" w:color="auto"/>
              <w:right w:val="single" w:sz="12" w:space="0" w:color="auto"/>
            </w:tcBorders>
            <w:shd w:val="clear" w:color="000000" w:fill="FFFFFF"/>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 xml:space="preserve">Среднопретеглена регионална цена само за България, Гърция, Румъния и Унгария и частично за Сърбия и Турция </w:t>
            </w:r>
            <w:r>
              <w:rPr>
                <w:rFonts w:ascii="Times New Roman" w:eastAsia="Times New Roman" w:hAnsi="Times New Roman" w:cs="Times New Roman"/>
                <w:color w:val="000000"/>
                <w:sz w:val="14"/>
                <w:szCs w:val="14"/>
                <w:lang w:val="en-US"/>
              </w:rPr>
              <w:t>–</w:t>
            </w:r>
            <w:r w:rsidRPr="00E657AB">
              <w:rPr>
                <w:rFonts w:ascii="Times New Roman" w:eastAsia="Times New Roman" w:hAnsi="Times New Roman" w:cs="Times New Roman"/>
                <w:color w:val="000000"/>
                <w:sz w:val="14"/>
                <w:szCs w:val="14"/>
                <w:lang w:val="en-US"/>
              </w:rPr>
              <w:t xml:space="preserve"> Сценарий 6</w:t>
            </w:r>
          </w:p>
        </w:tc>
        <w:tc>
          <w:tcPr>
            <w:tcW w:w="0" w:type="auto"/>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248</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-219</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-443</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-449</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-398</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-352</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-335</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-339</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-287</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-245</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-241</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-195</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-176</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-127</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-100</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-98</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-69</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FF0000"/>
                <w:sz w:val="14"/>
                <w:szCs w:val="14"/>
                <w:lang w:val="en-US"/>
              </w:rPr>
            </w:pPr>
            <w:r w:rsidRPr="00E657AB">
              <w:rPr>
                <w:rFonts w:ascii="Times New Roman" w:eastAsia="Times New Roman" w:hAnsi="Times New Roman" w:cs="Times New Roman"/>
                <w:color w:val="FF0000"/>
                <w:sz w:val="14"/>
                <w:szCs w:val="14"/>
                <w:lang w:val="en-US"/>
              </w:rPr>
              <w:t>-8</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19</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9</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17</w:t>
            </w:r>
          </w:p>
        </w:tc>
        <w:tc>
          <w:tcPr>
            <w:tcW w:w="0" w:type="auto"/>
            <w:tcBorders>
              <w:top w:val="single" w:sz="4" w:space="0" w:color="auto"/>
              <w:left w:val="nil"/>
              <w:bottom w:val="single" w:sz="12" w:space="0" w:color="auto"/>
              <w:right w:val="single" w:sz="12"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391</w:t>
            </w:r>
          </w:p>
        </w:tc>
      </w:tr>
      <w:tr w:rsidR="00E657AB" w:rsidRPr="00E657AB" w:rsidTr="00E657AB">
        <w:tc>
          <w:tcPr>
            <w:tcW w:w="0" w:type="auto"/>
            <w:tcBorders>
              <w:top w:val="single" w:sz="12" w:space="0" w:color="auto"/>
              <w:left w:val="nil"/>
              <w:bottom w:val="nil"/>
              <w:right w:val="nil"/>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rPr>
            </w:pPr>
            <w:r>
              <w:rPr>
                <w:rFonts w:ascii="Calibri" w:eastAsia="Times New Roman" w:hAnsi="Calibri" w:cs="Times New Roman"/>
                <w:color w:val="000000"/>
                <w:sz w:val="14"/>
                <w:szCs w:val="14"/>
              </w:rPr>
              <w:t xml:space="preserve">      </w:t>
            </w: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r>
      <w:tr w:rsidR="00E657AB" w:rsidRPr="00E657AB" w:rsidTr="00E657AB">
        <w:tc>
          <w:tcPr>
            <w:tcW w:w="0" w:type="auto"/>
            <w:tcBorders>
              <w:top w:val="nil"/>
              <w:left w:val="nil"/>
              <w:bottom w:val="nil"/>
              <w:right w:val="single" w:sz="12" w:space="0" w:color="auto"/>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2049</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2050</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2051</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2052</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2053</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2054</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2055</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2056</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2057</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2058</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2059</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2060</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2061</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2062</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2063</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2064</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2065</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2066</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2067</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2068</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2069</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2070</w:t>
            </w:r>
          </w:p>
        </w:tc>
      </w:tr>
      <w:tr w:rsidR="00E657AB" w:rsidRPr="00E657AB" w:rsidTr="00E657AB">
        <w:tc>
          <w:tcPr>
            <w:tcW w:w="0" w:type="auto"/>
            <w:tcBorders>
              <w:top w:val="nil"/>
              <w:left w:val="nil"/>
              <w:bottom w:val="nil"/>
              <w:right w:val="single" w:sz="12" w:space="0" w:color="auto"/>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669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793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799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757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838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814</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784</w:t>
            </w:r>
          </w:p>
        </w:tc>
      </w:tr>
      <w:tr w:rsidR="00E657AB" w:rsidRPr="00E657AB" w:rsidTr="00E657AB">
        <w:tc>
          <w:tcPr>
            <w:tcW w:w="0" w:type="auto"/>
            <w:tcBorders>
              <w:top w:val="nil"/>
              <w:left w:val="nil"/>
              <w:bottom w:val="nil"/>
              <w:right w:val="single" w:sz="12" w:space="0" w:color="auto"/>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325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309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314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346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350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332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338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344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322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352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358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396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377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383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395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421</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399</w:t>
            </w:r>
          </w:p>
        </w:tc>
      </w:tr>
      <w:tr w:rsidR="00E657AB" w:rsidRPr="00E657AB" w:rsidTr="00E657AB">
        <w:tc>
          <w:tcPr>
            <w:tcW w:w="0" w:type="auto"/>
            <w:tcBorders>
              <w:top w:val="nil"/>
              <w:left w:val="nil"/>
              <w:bottom w:val="nil"/>
              <w:right w:val="single" w:sz="12" w:space="0" w:color="auto"/>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486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466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496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486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577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554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579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576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644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618</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592</w:t>
            </w:r>
          </w:p>
        </w:tc>
      </w:tr>
      <w:tr w:rsidR="00E657AB" w:rsidRPr="00E657AB" w:rsidTr="00E657AB">
        <w:tc>
          <w:tcPr>
            <w:tcW w:w="0" w:type="auto"/>
            <w:tcBorders>
              <w:top w:val="nil"/>
              <w:left w:val="nil"/>
              <w:bottom w:val="nil"/>
              <w:right w:val="single" w:sz="12" w:space="0" w:color="auto"/>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576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589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694</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666</w:t>
            </w:r>
          </w:p>
        </w:tc>
      </w:tr>
      <w:tr w:rsidR="00E657AB" w:rsidRPr="00E657AB" w:rsidTr="00E657AB">
        <w:tc>
          <w:tcPr>
            <w:tcW w:w="0" w:type="auto"/>
            <w:tcBorders>
              <w:top w:val="nil"/>
              <w:left w:val="nil"/>
              <w:bottom w:val="nil"/>
              <w:right w:val="single" w:sz="12" w:space="0" w:color="auto"/>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640</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617</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626</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671</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677</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653</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663</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663</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643</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687</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696</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745</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751</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725</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734</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785</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791</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751</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750</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830</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806</w:t>
            </w:r>
          </w:p>
        </w:tc>
        <w:tc>
          <w:tcPr>
            <w:tcW w:w="0" w:type="auto"/>
            <w:tcBorders>
              <w:top w:val="single" w:sz="4" w:space="0" w:color="auto"/>
              <w:left w:val="nil"/>
              <w:bottom w:val="single" w:sz="12" w:space="0" w:color="auto"/>
              <w:right w:val="single" w:sz="12"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776</w:t>
            </w:r>
          </w:p>
        </w:tc>
      </w:tr>
      <w:tr w:rsidR="00E657AB" w:rsidRPr="00E657AB" w:rsidTr="00E657AB">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rPr>
            </w:pPr>
            <w:r>
              <w:rPr>
                <w:rFonts w:ascii="Calibri" w:eastAsia="Times New Roman" w:hAnsi="Calibri" w:cs="Times New Roman"/>
                <w:color w:val="000000"/>
                <w:sz w:val="14"/>
                <w:szCs w:val="14"/>
              </w:rPr>
              <w:t xml:space="preserve">        </w:t>
            </w: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single" w:sz="12" w:space="0" w:color="auto"/>
              <w:left w:val="nil"/>
              <w:bottom w:val="single" w:sz="12" w:space="0" w:color="auto"/>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single" w:sz="12" w:space="0" w:color="auto"/>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single" w:sz="12" w:space="0" w:color="auto"/>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single" w:sz="12" w:space="0" w:color="auto"/>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single" w:sz="12" w:space="0" w:color="auto"/>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single" w:sz="12" w:space="0" w:color="auto"/>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r>
      <w:tr w:rsidR="00E657AB" w:rsidRPr="00E657AB" w:rsidTr="00E657AB">
        <w:tc>
          <w:tcPr>
            <w:tcW w:w="0" w:type="auto"/>
            <w:tcBorders>
              <w:top w:val="nil"/>
              <w:left w:val="nil"/>
              <w:bottom w:val="nil"/>
              <w:right w:val="single" w:sz="12" w:space="0" w:color="auto"/>
            </w:tcBorders>
            <w:shd w:val="clear" w:color="auto" w:fill="auto"/>
            <w:noWrap/>
            <w:vAlign w:val="center"/>
            <w:hideMark/>
          </w:tcPr>
          <w:p w:rsidR="00E657AB" w:rsidRPr="00E657AB" w:rsidRDefault="00E657AB" w:rsidP="00E657AB">
            <w:pPr>
              <w:spacing w:after="0" w:line="240" w:lineRule="auto"/>
              <w:jc w:val="center"/>
              <w:rPr>
                <w:rFonts w:ascii="Calibri" w:eastAsia="Times New Roman" w:hAnsi="Calibri" w:cs="Times New Roman"/>
                <w:b/>
                <w:bCs/>
                <w:color w:val="000000"/>
                <w:sz w:val="14"/>
                <w:szCs w:val="14"/>
                <w:lang w:val="en-US"/>
              </w:rPr>
            </w:pPr>
          </w:p>
        </w:tc>
        <w:tc>
          <w:tcPr>
            <w:tcW w:w="0" w:type="auto"/>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2071</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2072</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2073</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2074</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2075</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2076</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2077</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2078</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2079</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2080</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2081</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2082</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2083</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2084</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2085</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2086</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r w:rsidRPr="00E657AB">
              <w:rPr>
                <w:rFonts w:ascii="Times New Roman" w:eastAsia="Times New Roman" w:hAnsi="Times New Roman" w:cs="Times New Roman"/>
                <w:b/>
                <w:bCs/>
                <w:color w:val="000000"/>
                <w:sz w:val="14"/>
                <w:szCs w:val="14"/>
                <w:lang w:val="en-US"/>
              </w:rPr>
              <w:t>2087</w:t>
            </w:r>
          </w:p>
        </w:tc>
        <w:tc>
          <w:tcPr>
            <w:tcW w:w="0" w:type="auto"/>
            <w:tcBorders>
              <w:top w:val="nil"/>
              <w:left w:val="single" w:sz="12" w:space="0" w:color="auto"/>
              <w:bottom w:val="nil"/>
              <w:right w:val="nil"/>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p>
        </w:tc>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p>
        </w:tc>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p>
        </w:tc>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p>
        </w:tc>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jc w:val="center"/>
              <w:rPr>
                <w:rFonts w:ascii="Times New Roman" w:eastAsia="Times New Roman" w:hAnsi="Times New Roman" w:cs="Times New Roman"/>
                <w:b/>
                <w:bCs/>
                <w:color w:val="000000"/>
                <w:sz w:val="14"/>
                <w:szCs w:val="14"/>
                <w:lang w:val="en-US"/>
              </w:rPr>
            </w:pPr>
          </w:p>
        </w:tc>
      </w:tr>
      <w:tr w:rsidR="00E657AB" w:rsidRPr="00E657AB" w:rsidTr="00E657AB">
        <w:tc>
          <w:tcPr>
            <w:tcW w:w="0" w:type="auto"/>
            <w:tcBorders>
              <w:top w:val="nil"/>
              <w:left w:val="nil"/>
              <w:bottom w:val="nil"/>
              <w:right w:val="single" w:sz="12" w:space="0" w:color="auto"/>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850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856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825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835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838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807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861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871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931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938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903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914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976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982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1,067</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547</w:t>
            </w:r>
          </w:p>
        </w:tc>
        <w:tc>
          <w:tcPr>
            <w:tcW w:w="0" w:type="auto"/>
            <w:tcBorders>
              <w:top w:val="nil"/>
              <w:left w:val="single" w:sz="12" w:space="0" w:color="auto"/>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r>
      <w:tr w:rsidR="00E657AB" w:rsidRPr="00E657AB" w:rsidTr="00E657AB">
        <w:tc>
          <w:tcPr>
            <w:tcW w:w="0" w:type="auto"/>
            <w:tcBorders>
              <w:top w:val="nil"/>
              <w:left w:val="nil"/>
              <w:bottom w:val="nil"/>
              <w:right w:val="single" w:sz="12" w:space="0" w:color="auto"/>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444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444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496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469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476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602</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312</w:t>
            </w:r>
          </w:p>
        </w:tc>
        <w:tc>
          <w:tcPr>
            <w:tcW w:w="0" w:type="auto"/>
            <w:tcBorders>
              <w:top w:val="nil"/>
              <w:left w:val="single" w:sz="12" w:space="0" w:color="auto"/>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r>
      <w:tr w:rsidR="00E657AB" w:rsidRPr="00E657AB" w:rsidTr="00E657AB">
        <w:tc>
          <w:tcPr>
            <w:tcW w:w="0" w:type="auto"/>
            <w:tcBorders>
              <w:top w:val="nil"/>
              <w:left w:val="nil"/>
              <w:bottom w:val="nil"/>
              <w:right w:val="single" w:sz="12" w:space="0" w:color="auto"/>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647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661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686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747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834</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429</w:t>
            </w:r>
          </w:p>
        </w:tc>
        <w:tc>
          <w:tcPr>
            <w:tcW w:w="0" w:type="auto"/>
            <w:tcBorders>
              <w:top w:val="nil"/>
              <w:left w:val="single" w:sz="12" w:space="0" w:color="auto"/>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r>
      <w:tr w:rsidR="00E657AB" w:rsidRPr="00E657AB" w:rsidTr="00E657AB">
        <w:tc>
          <w:tcPr>
            <w:tcW w:w="0" w:type="auto"/>
            <w:tcBorders>
              <w:top w:val="nil"/>
              <w:left w:val="nil"/>
              <w:bottom w:val="nil"/>
              <w:right w:val="single" w:sz="12" w:space="0" w:color="auto"/>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702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684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802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779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836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842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924</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475</w:t>
            </w:r>
          </w:p>
        </w:tc>
        <w:tc>
          <w:tcPr>
            <w:tcW w:w="0" w:type="auto"/>
            <w:tcBorders>
              <w:top w:val="nil"/>
              <w:left w:val="single" w:sz="12" w:space="0" w:color="auto"/>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r>
      <w:tr w:rsidR="00E657AB" w:rsidRPr="00E657AB" w:rsidTr="00E657AB">
        <w:tc>
          <w:tcPr>
            <w:tcW w:w="0" w:type="auto"/>
            <w:tcBorders>
              <w:top w:val="nil"/>
              <w:left w:val="nil"/>
              <w:bottom w:val="nil"/>
              <w:right w:val="single" w:sz="12" w:space="0" w:color="auto"/>
            </w:tcBorders>
            <w:shd w:val="clear" w:color="auto" w:fill="auto"/>
            <w:noWrap/>
            <w:vAlign w:val="center"/>
            <w:hideMark/>
          </w:tcPr>
          <w:p w:rsidR="00E657AB" w:rsidRPr="00E657AB" w:rsidRDefault="00E657AB" w:rsidP="00E657AB">
            <w:pPr>
              <w:spacing w:after="0" w:line="240" w:lineRule="auto"/>
              <w:rPr>
                <w:rFonts w:ascii="Calibri" w:eastAsia="Times New Roman" w:hAnsi="Calibri" w:cs="Times New Roman"/>
                <w:color w:val="000000"/>
                <w:sz w:val="14"/>
                <w:szCs w:val="14"/>
                <w:lang w:val="en-US"/>
              </w:rPr>
            </w:pPr>
          </w:p>
        </w:tc>
        <w:tc>
          <w:tcPr>
            <w:tcW w:w="0" w:type="auto"/>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786</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841</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848</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816</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827</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830</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799</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852</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863</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922</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929</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894</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905</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966</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973</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1,057</w:t>
            </w:r>
          </w:p>
        </w:tc>
        <w:tc>
          <w:tcPr>
            <w:tcW w:w="0" w:type="auto"/>
            <w:tcBorders>
              <w:top w:val="single" w:sz="4" w:space="0" w:color="auto"/>
              <w:left w:val="nil"/>
              <w:bottom w:val="single" w:sz="12" w:space="0" w:color="auto"/>
              <w:right w:val="single" w:sz="12" w:space="0" w:color="auto"/>
            </w:tcBorders>
            <w:shd w:val="clear" w:color="auto" w:fill="auto"/>
            <w:noWrap/>
            <w:vAlign w:val="center"/>
            <w:hideMark/>
          </w:tcPr>
          <w:p w:rsidR="00E657AB" w:rsidRPr="00E657AB" w:rsidRDefault="00E657AB" w:rsidP="00E657AB">
            <w:pPr>
              <w:spacing w:after="0" w:line="240" w:lineRule="auto"/>
              <w:jc w:val="right"/>
              <w:rPr>
                <w:rFonts w:ascii="Times New Roman" w:eastAsia="Times New Roman" w:hAnsi="Times New Roman" w:cs="Times New Roman"/>
                <w:color w:val="000000"/>
                <w:sz w:val="14"/>
                <w:szCs w:val="14"/>
                <w:lang w:val="en-US"/>
              </w:rPr>
            </w:pPr>
            <w:r w:rsidRPr="00E657AB">
              <w:rPr>
                <w:rFonts w:ascii="Times New Roman" w:eastAsia="Times New Roman" w:hAnsi="Times New Roman" w:cs="Times New Roman"/>
                <w:color w:val="000000"/>
                <w:sz w:val="14"/>
                <w:szCs w:val="14"/>
                <w:lang w:val="en-US"/>
              </w:rPr>
              <w:t>542</w:t>
            </w:r>
          </w:p>
        </w:tc>
        <w:tc>
          <w:tcPr>
            <w:tcW w:w="0" w:type="auto"/>
            <w:tcBorders>
              <w:top w:val="nil"/>
              <w:left w:val="single" w:sz="12" w:space="0" w:color="auto"/>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c>
          <w:tcPr>
            <w:tcW w:w="0" w:type="auto"/>
            <w:tcBorders>
              <w:top w:val="nil"/>
              <w:left w:val="nil"/>
              <w:bottom w:val="nil"/>
              <w:right w:val="nil"/>
            </w:tcBorders>
            <w:shd w:val="clear" w:color="auto" w:fill="auto"/>
            <w:noWrap/>
            <w:vAlign w:val="center"/>
            <w:hideMark/>
          </w:tcPr>
          <w:p w:rsidR="00E657AB" w:rsidRPr="00E657AB" w:rsidRDefault="00E657AB" w:rsidP="00E657AB">
            <w:pPr>
              <w:spacing w:after="0" w:line="240" w:lineRule="auto"/>
              <w:rPr>
                <w:rFonts w:ascii="Times New Roman" w:eastAsia="Times New Roman" w:hAnsi="Times New Roman" w:cs="Times New Roman"/>
                <w:color w:val="000000"/>
                <w:sz w:val="14"/>
                <w:szCs w:val="14"/>
                <w:lang w:val="en-US"/>
              </w:rPr>
            </w:pPr>
          </w:p>
        </w:tc>
      </w:tr>
    </w:tbl>
    <w:p w:rsidR="00AE74AE" w:rsidRPr="00E657AB" w:rsidRDefault="00AE74AE" w:rsidP="00AE74AE">
      <w:pPr>
        <w:spacing w:before="120" w:after="120"/>
        <w:jc w:val="both"/>
        <w:rPr>
          <w:rFonts w:ascii="Times New Roman" w:hAnsi="Times New Roman" w:cs="Times New Roman"/>
          <w:sz w:val="16"/>
          <w:szCs w:val="24"/>
        </w:rPr>
      </w:pPr>
    </w:p>
    <w:p w:rsidR="004464CF" w:rsidRDefault="004464CF" w:rsidP="00E44C19">
      <w:pPr>
        <w:spacing w:before="120" w:after="120" w:line="240" w:lineRule="auto"/>
        <w:jc w:val="both"/>
        <w:rPr>
          <w:rFonts w:ascii="Times New Roman" w:hAnsi="Times New Roman" w:cs="Times New Roman"/>
          <w:sz w:val="24"/>
          <w:szCs w:val="24"/>
        </w:rPr>
      </w:pPr>
    </w:p>
    <w:p w:rsidR="00233DB8" w:rsidRDefault="00233DB8" w:rsidP="00E44C19">
      <w:pPr>
        <w:spacing w:before="120" w:after="120" w:line="240" w:lineRule="auto"/>
        <w:jc w:val="both"/>
        <w:rPr>
          <w:rFonts w:ascii="Times New Roman" w:hAnsi="Times New Roman" w:cs="Times New Roman"/>
          <w:sz w:val="24"/>
          <w:szCs w:val="24"/>
        </w:rPr>
        <w:sectPr w:rsidR="00233DB8" w:rsidSect="00233DB8">
          <w:pgSz w:w="16838" w:h="11906" w:orient="landscape"/>
          <w:pgMar w:top="1418" w:right="1418" w:bottom="1418" w:left="1418" w:header="709" w:footer="709" w:gutter="0"/>
          <w:cols w:space="708"/>
          <w:docGrid w:linePitch="360"/>
        </w:sectPr>
      </w:pPr>
    </w:p>
    <w:p w:rsidR="00950BDF" w:rsidRPr="00950BDF" w:rsidRDefault="00950BDF" w:rsidP="00E44C19">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lastRenderedPageBreak/>
        <w:t xml:space="preserve">При </w:t>
      </w:r>
      <w:r w:rsidR="00DE65CF">
        <w:rPr>
          <w:rFonts w:ascii="Times New Roman" w:hAnsi="Times New Roman" w:cs="Times New Roman"/>
          <w:sz w:val="24"/>
          <w:szCs w:val="24"/>
        </w:rPr>
        <w:t xml:space="preserve">ново </w:t>
      </w:r>
      <w:r w:rsidRPr="00950BDF">
        <w:rPr>
          <w:rFonts w:ascii="Times New Roman" w:hAnsi="Times New Roman" w:cs="Times New Roman"/>
          <w:sz w:val="24"/>
          <w:szCs w:val="24"/>
        </w:rPr>
        <w:t xml:space="preserve">иницииране на проекта и започване на преговори за изпълнението и финансирането му, много </w:t>
      </w:r>
      <w:r w:rsidR="00AA075B" w:rsidRPr="00950BDF">
        <w:rPr>
          <w:rFonts w:ascii="Times New Roman" w:hAnsi="Times New Roman" w:cs="Times New Roman"/>
          <w:sz w:val="24"/>
          <w:szCs w:val="24"/>
        </w:rPr>
        <w:t xml:space="preserve">е </w:t>
      </w:r>
      <w:r w:rsidRPr="00950BDF">
        <w:rPr>
          <w:rFonts w:ascii="Times New Roman" w:hAnsi="Times New Roman" w:cs="Times New Roman"/>
          <w:sz w:val="24"/>
          <w:szCs w:val="24"/>
        </w:rPr>
        <w:t>вероятно да се получат промени в много от заложените параметри във финансовия модел. В началните етапи на преговори могат да се очакват да настъпят промени в инвестиционните разходи, а след това и в други съществени параметри.</w:t>
      </w:r>
    </w:p>
    <w:p w:rsidR="00B5150F" w:rsidRDefault="00950BDF" w:rsidP="00DB1A1E">
      <w:pPr>
        <w:spacing w:before="120" w:after="120" w:line="240" w:lineRule="auto"/>
        <w:jc w:val="both"/>
        <w:rPr>
          <w:rFonts w:ascii="Times New Roman" w:hAnsi="Times New Roman" w:cs="Times New Roman"/>
          <w:sz w:val="24"/>
          <w:szCs w:val="24"/>
        </w:rPr>
      </w:pPr>
      <w:r w:rsidRPr="00950BDF">
        <w:rPr>
          <w:rFonts w:ascii="Times New Roman" w:hAnsi="Times New Roman" w:cs="Times New Roman"/>
          <w:sz w:val="24"/>
          <w:szCs w:val="24"/>
        </w:rPr>
        <w:t xml:space="preserve">Проектът има шансове да подобри съществено финансовите си резултати и да стане финансово жизнеспособен, ако се договорят по-ниски инвестиционни разходи в началото и края на </w:t>
      </w:r>
      <w:r w:rsidR="00B5150F">
        <w:rPr>
          <w:rFonts w:ascii="Times New Roman" w:hAnsi="Times New Roman" w:cs="Times New Roman"/>
          <w:sz w:val="24"/>
          <w:szCs w:val="24"/>
        </w:rPr>
        <w:t>изграждането на централата</w:t>
      </w:r>
      <w:r w:rsidRPr="00950BDF">
        <w:rPr>
          <w:rFonts w:ascii="Times New Roman" w:hAnsi="Times New Roman" w:cs="Times New Roman"/>
          <w:sz w:val="24"/>
          <w:szCs w:val="24"/>
        </w:rPr>
        <w:t xml:space="preserve"> и се постигнат по-високи цени на продажба на електрическа енергия. Върху цените съществено влияние ще оказва процесът на либерализация</w:t>
      </w:r>
      <w:r w:rsidR="00AA075B">
        <w:rPr>
          <w:rFonts w:ascii="Times New Roman" w:hAnsi="Times New Roman" w:cs="Times New Roman"/>
          <w:sz w:val="24"/>
          <w:szCs w:val="24"/>
        </w:rPr>
        <w:t>,</w:t>
      </w:r>
      <w:r w:rsidRPr="00950BDF">
        <w:rPr>
          <w:rFonts w:ascii="Times New Roman" w:hAnsi="Times New Roman" w:cs="Times New Roman"/>
          <w:sz w:val="24"/>
          <w:szCs w:val="24"/>
        </w:rPr>
        <w:t xml:space="preserve"> съобразно третия и подготвения четвърти енергиен пакет. </w:t>
      </w:r>
      <w:r w:rsidR="00B5150F">
        <w:rPr>
          <w:rFonts w:ascii="Times New Roman" w:hAnsi="Times New Roman" w:cs="Times New Roman"/>
          <w:sz w:val="24"/>
          <w:szCs w:val="24"/>
        </w:rPr>
        <w:t xml:space="preserve">Друг фактор, който може да подобри финансовите параметри на проекта е </w:t>
      </w:r>
      <w:r w:rsidRPr="00950BDF">
        <w:rPr>
          <w:rFonts w:ascii="Times New Roman" w:hAnsi="Times New Roman" w:cs="Times New Roman"/>
          <w:sz w:val="24"/>
          <w:szCs w:val="24"/>
        </w:rPr>
        <w:t>кредитния ресурс, който е необходим за финансиране на изграждането на АЕЦ „Белене“. Предвид факта, че тези промени са подвластни на динамиката на международните финансови пазари, те също трябва да се следят и информацията от тях да се използва при актуализация на финансовия модел.</w:t>
      </w:r>
    </w:p>
    <w:p w:rsidR="00F8466D" w:rsidRPr="00B63AD4" w:rsidRDefault="00B12E36" w:rsidP="00F8466D">
      <w:pPr>
        <w:spacing w:before="120" w:after="120" w:line="240" w:lineRule="auto"/>
        <w:jc w:val="both"/>
        <w:rPr>
          <w:rFonts w:ascii="Times New Roman" w:hAnsi="Times New Roman" w:cs="Times New Roman"/>
          <w:b/>
          <w:sz w:val="24"/>
          <w:szCs w:val="24"/>
        </w:rPr>
      </w:pPr>
      <w:r w:rsidRPr="00B63AD4">
        <w:rPr>
          <w:rFonts w:ascii="Times New Roman" w:hAnsi="Times New Roman" w:cs="Times New Roman"/>
          <w:b/>
          <w:sz w:val="24"/>
          <w:szCs w:val="24"/>
        </w:rPr>
        <w:t>Забележка</w:t>
      </w:r>
      <w:r w:rsidR="00420E7E" w:rsidRPr="00B63AD4">
        <w:rPr>
          <w:rFonts w:ascii="Times New Roman" w:hAnsi="Times New Roman" w:cs="Times New Roman"/>
          <w:b/>
          <w:sz w:val="24"/>
          <w:szCs w:val="24"/>
        </w:rPr>
        <w:t xml:space="preserve">: Представените резултати от проиграването на финансовия модел на АЕЦ „Белене” са на база прогнозните пазарни цени за региона, получени </w:t>
      </w:r>
      <w:r w:rsidR="00F8466D" w:rsidRPr="00B63AD4">
        <w:rPr>
          <w:rFonts w:ascii="Times New Roman" w:hAnsi="Times New Roman" w:cs="Times New Roman"/>
          <w:b/>
          <w:sz w:val="24"/>
          <w:szCs w:val="24"/>
        </w:rPr>
        <w:t xml:space="preserve">преди </w:t>
      </w:r>
      <w:r w:rsidR="00420E7E" w:rsidRPr="00B63AD4">
        <w:rPr>
          <w:rFonts w:ascii="Times New Roman" w:hAnsi="Times New Roman" w:cs="Times New Roman"/>
          <w:b/>
          <w:sz w:val="24"/>
          <w:szCs w:val="24"/>
        </w:rPr>
        <w:t>8</w:t>
      </w:r>
      <w:r w:rsidR="00F8466D" w:rsidRPr="00B63AD4">
        <w:rPr>
          <w:rFonts w:ascii="Times New Roman" w:hAnsi="Times New Roman" w:cs="Times New Roman"/>
          <w:b/>
          <w:sz w:val="24"/>
          <w:szCs w:val="24"/>
        </w:rPr>
        <w:t xml:space="preserve"> </w:t>
      </w:r>
      <w:r w:rsidR="00420E7E" w:rsidRPr="00B63AD4">
        <w:rPr>
          <w:rFonts w:ascii="Times New Roman" w:hAnsi="Times New Roman" w:cs="Times New Roman"/>
          <w:b/>
          <w:sz w:val="24"/>
          <w:szCs w:val="24"/>
        </w:rPr>
        <w:t>септември</w:t>
      </w:r>
      <w:r w:rsidR="00F8466D" w:rsidRPr="00B63AD4">
        <w:rPr>
          <w:rFonts w:ascii="Times New Roman" w:hAnsi="Times New Roman" w:cs="Times New Roman"/>
          <w:b/>
          <w:sz w:val="24"/>
          <w:szCs w:val="24"/>
        </w:rPr>
        <w:t xml:space="preserve"> 2017</w:t>
      </w:r>
      <w:r w:rsidR="00F44EBF">
        <w:rPr>
          <w:rFonts w:ascii="Times New Roman" w:hAnsi="Times New Roman" w:cs="Times New Roman"/>
          <w:b/>
          <w:sz w:val="24"/>
          <w:szCs w:val="24"/>
        </w:rPr>
        <w:t xml:space="preserve"> </w:t>
      </w:r>
      <w:r w:rsidR="00F8466D" w:rsidRPr="00B63AD4">
        <w:rPr>
          <w:rFonts w:ascii="Times New Roman" w:hAnsi="Times New Roman" w:cs="Times New Roman"/>
          <w:b/>
          <w:sz w:val="24"/>
          <w:szCs w:val="24"/>
        </w:rPr>
        <w:t>г., След тази дата</w:t>
      </w:r>
      <w:r w:rsidR="00B63AD4" w:rsidRPr="00B63AD4">
        <w:rPr>
          <w:rFonts w:ascii="Times New Roman" w:hAnsi="Times New Roman" w:cs="Times New Roman"/>
          <w:b/>
          <w:sz w:val="24"/>
          <w:szCs w:val="24"/>
        </w:rPr>
        <w:t xml:space="preserve"> бяха получени </w:t>
      </w:r>
      <w:r w:rsidR="00F44EBF">
        <w:rPr>
          <w:rFonts w:ascii="Times New Roman" w:hAnsi="Times New Roman" w:cs="Times New Roman"/>
          <w:b/>
          <w:sz w:val="24"/>
          <w:szCs w:val="24"/>
        </w:rPr>
        <w:t xml:space="preserve">от Възложителя </w:t>
      </w:r>
      <w:r w:rsidR="00B63AD4" w:rsidRPr="00B63AD4">
        <w:rPr>
          <w:rFonts w:ascii="Times New Roman" w:hAnsi="Times New Roman" w:cs="Times New Roman"/>
          <w:b/>
          <w:sz w:val="24"/>
          <w:szCs w:val="24"/>
        </w:rPr>
        <w:t>корекции по входните данни за</w:t>
      </w:r>
      <w:r w:rsidR="00F8466D" w:rsidRPr="00B63AD4">
        <w:rPr>
          <w:rFonts w:ascii="Times New Roman" w:hAnsi="Times New Roman" w:cs="Times New Roman"/>
          <w:b/>
          <w:sz w:val="24"/>
          <w:szCs w:val="24"/>
        </w:rPr>
        <w:t xml:space="preserve"> модела </w:t>
      </w:r>
      <w:r w:rsidR="00B63AD4" w:rsidRPr="00B63AD4">
        <w:rPr>
          <w:rFonts w:ascii="Times New Roman" w:hAnsi="Times New Roman" w:cs="Times New Roman"/>
          <w:b/>
          <w:sz w:val="24"/>
          <w:szCs w:val="24"/>
        </w:rPr>
        <w:t>н</w:t>
      </w:r>
      <w:r w:rsidR="00F8466D" w:rsidRPr="00B63AD4">
        <w:rPr>
          <w:rFonts w:ascii="Times New Roman" w:hAnsi="Times New Roman" w:cs="Times New Roman"/>
          <w:b/>
          <w:sz w:val="24"/>
          <w:szCs w:val="24"/>
        </w:rPr>
        <w:t>а регио</w:t>
      </w:r>
      <w:r w:rsidR="00B63AD4" w:rsidRPr="00B63AD4">
        <w:rPr>
          <w:rFonts w:ascii="Times New Roman" w:hAnsi="Times New Roman" w:cs="Times New Roman"/>
          <w:b/>
          <w:sz w:val="24"/>
          <w:szCs w:val="24"/>
        </w:rPr>
        <w:t>налните цени на електроенергия.</w:t>
      </w:r>
      <w:r w:rsidRPr="00B63AD4">
        <w:rPr>
          <w:rFonts w:ascii="Times New Roman" w:hAnsi="Times New Roman" w:cs="Times New Roman"/>
          <w:b/>
          <w:sz w:val="24"/>
          <w:szCs w:val="24"/>
        </w:rPr>
        <w:t xml:space="preserve"> Това доведе до </w:t>
      </w:r>
      <w:r w:rsidR="00F8466D" w:rsidRPr="00B63AD4">
        <w:rPr>
          <w:rFonts w:ascii="Times New Roman" w:hAnsi="Times New Roman" w:cs="Times New Roman"/>
          <w:b/>
          <w:sz w:val="24"/>
          <w:szCs w:val="24"/>
        </w:rPr>
        <w:t>по-ниски пазарни стойности на електроенергията и в трите прогнозни сценария, които бяха получени до този момент и са използвани при изчисленията във финансовия модел за реализиране на проекта АЕЦ „Белене”. Тези стойности бяха съгласувани от екип</w:t>
      </w:r>
      <w:r w:rsidR="00F44EBF">
        <w:rPr>
          <w:rFonts w:ascii="Times New Roman" w:hAnsi="Times New Roman" w:cs="Times New Roman"/>
          <w:b/>
          <w:sz w:val="24"/>
          <w:szCs w:val="24"/>
        </w:rPr>
        <w:t>ите на БЕХ и БАН</w:t>
      </w:r>
      <w:r w:rsidR="00F8466D" w:rsidRPr="00B63AD4">
        <w:rPr>
          <w:rFonts w:ascii="Times New Roman" w:hAnsi="Times New Roman" w:cs="Times New Roman"/>
          <w:b/>
          <w:sz w:val="24"/>
          <w:szCs w:val="24"/>
        </w:rPr>
        <w:t xml:space="preserve"> на 11.09.2017 г. </w:t>
      </w:r>
      <w:r w:rsidRPr="00B63AD4">
        <w:rPr>
          <w:rFonts w:ascii="Times New Roman" w:hAnsi="Times New Roman" w:cs="Times New Roman"/>
          <w:b/>
          <w:sz w:val="24"/>
          <w:szCs w:val="24"/>
        </w:rPr>
        <w:t>П</w:t>
      </w:r>
      <w:r w:rsidR="00F8466D" w:rsidRPr="00B63AD4">
        <w:rPr>
          <w:rFonts w:ascii="Times New Roman" w:hAnsi="Times New Roman" w:cs="Times New Roman"/>
          <w:b/>
          <w:sz w:val="24"/>
          <w:szCs w:val="24"/>
        </w:rPr>
        <w:t>оради краткото време, това не мож</w:t>
      </w:r>
      <w:r w:rsidRPr="00B63AD4">
        <w:rPr>
          <w:rFonts w:ascii="Times New Roman" w:hAnsi="Times New Roman" w:cs="Times New Roman"/>
          <w:b/>
          <w:sz w:val="24"/>
          <w:szCs w:val="24"/>
        </w:rPr>
        <w:t>а</w:t>
      </w:r>
      <w:r w:rsidR="00F8466D" w:rsidRPr="00B63AD4">
        <w:rPr>
          <w:rFonts w:ascii="Times New Roman" w:hAnsi="Times New Roman" w:cs="Times New Roman"/>
          <w:b/>
          <w:sz w:val="24"/>
          <w:szCs w:val="24"/>
        </w:rPr>
        <w:t xml:space="preserve"> да бъде направено за Дейност V, където проиграването на модела и корекциите в обяснителния текст отнемат повече дни. </w:t>
      </w:r>
      <w:r w:rsidR="00B63AD4" w:rsidRPr="00B63AD4">
        <w:rPr>
          <w:rFonts w:ascii="Times New Roman" w:hAnsi="Times New Roman" w:cs="Times New Roman"/>
          <w:b/>
          <w:sz w:val="24"/>
          <w:szCs w:val="24"/>
        </w:rPr>
        <w:t>Съгласно наше писмо до  Възложителя, с изх. н-р 354/12.09.2017</w:t>
      </w:r>
      <w:r w:rsidR="000A609E">
        <w:rPr>
          <w:rFonts w:ascii="Times New Roman" w:hAnsi="Times New Roman" w:cs="Times New Roman"/>
          <w:b/>
          <w:sz w:val="24"/>
          <w:szCs w:val="24"/>
        </w:rPr>
        <w:t xml:space="preserve"> </w:t>
      </w:r>
      <w:r w:rsidR="00B63AD4" w:rsidRPr="00B63AD4">
        <w:rPr>
          <w:rFonts w:ascii="Times New Roman" w:hAnsi="Times New Roman" w:cs="Times New Roman"/>
          <w:b/>
          <w:sz w:val="24"/>
          <w:szCs w:val="24"/>
        </w:rPr>
        <w:t xml:space="preserve">г. е съгласувана тази ситуация и е поет ангажимент в </w:t>
      </w:r>
      <w:r w:rsidRPr="00B63AD4">
        <w:rPr>
          <w:rFonts w:ascii="Times New Roman" w:hAnsi="Times New Roman" w:cs="Times New Roman"/>
          <w:b/>
          <w:sz w:val="24"/>
          <w:szCs w:val="24"/>
        </w:rPr>
        <w:t xml:space="preserve"> срок</w:t>
      </w:r>
      <w:r w:rsidR="00F8466D" w:rsidRPr="00B63AD4">
        <w:rPr>
          <w:rFonts w:ascii="Times New Roman" w:hAnsi="Times New Roman" w:cs="Times New Roman"/>
          <w:b/>
          <w:sz w:val="24"/>
          <w:szCs w:val="24"/>
        </w:rPr>
        <w:t xml:space="preserve"> до 15 дни след 15.09.2017 г. да </w:t>
      </w:r>
      <w:r w:rsidR="00B63AD4" w:rsidRPr="00B63AD4">
        <w:rPr>
          <w:rFonts w:ascii="Times New Roman" w:hAnsi="Times New Roman" w:cs="Times New Roman"/>
          <w:b/>
          <w:sz w:val="24"/>
          <w:szCs w:val="24"/>
        </w:rPr>
        <w:t>се предат</w:t>
      </w:r>
      <w:r w:rsidR="00F8466D" w:rsidRPr="00B63AD4">
        <w:rPr>
          <w:rFonts w:ascii="Times New Roman" w:hAnsi="Times New Roman" w:cs="Times New Roman"/>
          <w:b/>
          <w:sz w:val="24"/>
          <w:szCs w:val="24"/>
        </w:rPr>
        <w:t xml:space="preserve"> резултатите, от проиграването на модела в Дейност V</w:t>
      </w:r>
      <w:r w:rsidR="00B63AD4" w:rsidRPr="00B63AD4">
        <w:rPr>
          <w:rFonts w:ascii="Times New Roman" w:hAnsi="Times New Roman" w:cs="Times New Roman"/>
          <w:b/>
          <w:sz w:val="24"/>
          <w:szCs w:val="24"/>
        </w:rPr>
        <w:t xml:space="preserve"> с уточнените данни</w:t>
      </w:r>
      <w:r w:rsidR="00F8466D" w:rsidRPr="00B63AD4">
        <w:rPr>
          <w:rFonts w:ascii="Times New Roman" w:hAnsi="Times New Roman" w:cs="Times New Roman"/>
          <w:b/>
          <w:sz w:val="24"/>
          <w:szCs w:val="24"/>
        </w:rPr>
        <w:t>.</w:t>
      </w:r>
      <w:r w:rsidR="00F44EBF">
        <w:rPr>
          <w:rFonts w:ascii="Times New Roman" w:hAnsi="Times New Roman" w:cs="Times New Roman"/>
          <w:b/>
          <w:sz w:val="24"/>
          <w:szCs w:val="24"/>
        </w:rPr>
        <w:t xml:space="preserve"> </w:t>
      </w:r>
      <w:r w:rsidR="00F8466D" w:rsidRPr="00B63AD4">
        <w:rPr>
          <w:rFonts w:ascii="Times New Roman" w:hAnsi="Times New Roman" w:cs="Times New Roman"/>
          <w:b/>
          <w:sz w:val="24"/>
          <w:szCs w:val="24"/>
        </w:rPr>
        <w:t xml:space="preserve">Обръщаме внимание на факта, че няма да има съществена промяна в заключенията относно финансовата ефективност на Проекта АЕЦ „Белене”, тъй като при по-ниски пазарни цени, финансовите дефицити, ще станат още по-големи. </w:t>
      </w:r>
    </w:p>
    <w:p w:rsidR="00F8466D" w:rsidRPr="00950BDF" w:rsidRDefault="00F8466D" w:rsidP="00DB1A1E">
      <w:pPr>
        <w:spacing w:before="120" w:after="120" w:line="240" w:lineRule="auto"/>
        <w:jc w:val="both"/>
        <w:rPr>
          <w:rFonts w:ascii="Times New Roman" w:hAnsi="Times New Roman" w:cs="Times New Roman"/>
          <w:sz w:val="24"/>
          <w:szCs w:val="24"/>
        </w:rPr>
      </w:pPr>
    </w:p>
    <w:p w:rsidR="00667576" w:rsidRPr="006C65A8" w:rsidRDefault="00667576" w:rsidP="00667576">
      <w:pPr>
        <w:pStyle w:val="Heading1"/>
        <w:ind w:left="567" w:hanging="567"/>
        <w:rPr>
          <w:sz w:val="24"/>
          <w:szCs w:val="24"/>
          <w:lang w:val="bg-BG"/>
        </w:rPr>
      </w:pPr>
      <w:bookmarkStart w:id="182" w:name="_Toc491994403"/>
      <w:bookmarkStart w:id="183" w:name="_Toc492991262"/>
      <w:bookmarkStart w:id="184" w:name="_Toc492991322"/>
      <w:bookmarkStart w:id="185" w:name="_Toc492991345"/>
      <w:r w:rsidRPr="006C65A8">
        <w:rPr>
          <w:sz w:val="24"/>
          <w:szCs w:val="24"/>
          <w:lang w:val="bg-BG"/>
        </w:rPr>
        <w:t>Литература</w:t>
      </w:r>
      <w:bookmarkEnd w:id="182"/>
      <w:bookmarkEnd w:id="183"/>
      <w:bookmarkEnd w:id="184"/>
      <w:bookmarkEnd w:id="185"/>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 xml:space="preserve">Atiyas İ. (2012). The Turkish Model for Transition to Nuclear Power Risks, Incentives and Financing Models of Nuclear Power Plants: International Experiences and the Akkuyu Model </w:t>
      </w:r>
    </w:p>
    <w:p w:rsidR="009A7018" w:rsidRPr="00EA6281" w:rsidRDefault="009A7018" w:rsidP="00EA6281">
      <w:pPr>
        <w:spacing w:before="60" w:after="60" w:line="240" w:lineRule="auto"/>
        <w:ind w:left="567" w:hanging="567"/>
        <w:jc w:val="both"/>
        <w:rPr>
          <w:rFonts w:ascii="Times New Roman" w:hAnsi="Times New Roman" w:cs="Times New Roman"/>
          <w:sz w:val="20"/>
          <w:szCs w:val="24"/>
          <w:lang w:val="en-GB"/>
        </w:rPr>
      </w:pPr>
      <w:r w:rsidRPr="00EA6281">
        <w:rPr>
          <w:rFonts w:ascii="Times New Roman" w:hAnsi="Times New Roman" w:cs="Times New Roman"/>
          <w:sz w:val="20"/>
          <w:szCs w:val="24"/>
          <w:lang w:val="en-GB"/>
        </w:rPr>
        <w:t>Barkatullah N. (2012). Financing Structures for a Nuclear Power Plant Project</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CdC. (2012). Les coûts de la filièreélectronucléaire, Paris: Cour des Comptes.</w:t>
      </w:r>
    </w:p>
    <w:p w:rsidR="009A7018" w:rsidRPr="00EA6281" w:rsidRDefault="009A7018" w:rsidP="00EA6281">
      <w:pPr>
        <w:autoSpaceDE w:val="0"/>
        <w:autoSpaceDN w:val="0"/>
        <w:adjustRightInd w:val="0"/>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Damodaran, A. (2016). Country Risk: Determinants, Measures and Implications – The 2016 Edition.</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Damodaran, A. (2017). Equity Risk Premiums (ERP): Determinants, Estimation and Implications – The 2017 Edition, Stern School of Business.</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DeutschesInstitutfürWirtschaftsforschung. (2013). Current and Prospective Costs of Electricity Generation until 2050.</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D’haeseleer W. D. (2013). Synthesis on the Economics of Nuclear Energy, Study for the European Commission, DG Energy</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EIA. (2011). Annual Energy Outlook, Washington DC: U.S. Energy Information Administration.</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European Commission. (2017). Commission Staff Working Document accompanying the document Communication from the Commission Nuclear Illustrative Programme Presented under Article 40 of the EuratomTreaty – Final (after opinion of EESC) {COM(2017) 237 final}, Brussels.</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lastRenderedPageBreak/>
        <w:t>European Commission. (2013). Synthesis of the Economics of Nuclear Energy, Study of the European Commission, DG Energy.</w:t>
      </w:r>
    </w:p>
    <w:p w:rsidR="009A7018" w:rsidRPr="00EA6281" w:rsidRDefault="009A7018" w:rsidP="00EA6281">
      <w:pPr>
        <w:autoSpaceDE w:val="0"/>
        <w:autoSpaceDN w:val="0"/>
        <w:adjustRightInd w:val="0"/>
        <w:spacing w:before="60" w:after="60" w:line="240" w:lineRule="auto"/>
        <w:rPr>
          <w:rFonts w:ascii="Times New Roman" w:hAnsi="Times New Roman" w:cs="Times New Roman"/>
          <w:sz w:val="20"/>
          <w:szCs w:val="24"/>
        </w:rPr>
      </w:pPr>
      <w:r w:rsidRPr="00EA6281">
        <w:rPr>
          <w:rFonts w:ascii="Times New Roman" w:hAnsi="Times New Roman" w:cs="Times New Roman"/>
          <w:sz w:val="20"/>
          <w:szCs w:val="24"/>
          <w:lang w:val="en-GB"/>
        </w:rPr>
        <w:t>European Commission. (2016). EU Reference Scenario. Energy, transport and GHG emissions Trends to 2050</w:t>
      </w:r>
    </w:p>
    <w:p w:rsidR="009A7018" w:rsidRPr="00EA6281" w:rsidRDefault="009A7018" w:rsidP="00EA6281">
      <w:pPr>
        <w:spacing w:before="60" w:after="60" w:line="240" w:lineRule="auto"/>
        <w:ind w:left="567" w:hanging="567"/>
        <w:jc w:val="both"/>
        <w:rPr>
          <w:rFonts w:ascii="Times New Roman" w:hAnsi="Times New Roman" w:cs="Times New Roman"/>
          <w:sz w:val="20"/>
          <w:szCs w:val="24"/>
          <w:lang w:val="en-GB"/>
        </w:rPr>
      </w:pPr>
      <w:r w:rsidRPr="00EA6281">
        <w:rPr>
          <w:rFonts w:ascii="Times New Roman" w:hAnsi="Times New Roman" w:cs="Times New Roman"/>
          <w:sz w:val="20"/>
          <w:szCs w:val="24"/>
          <w:lang w:val="en-GB"/>
        </w:rPr>
        <w:t>ICEPT Working Paper. (2012) Cost estimates for nuclear power in the UK</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IEA/NEA. Projected costs of generating electricity, 2010 Edition.</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IEA/NEA. Projected costs of generating electricity, 2015 Edition.</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IEA/OECD/NEA. Projected Costs of Generating Electricity 2015, International Energy Agency.</w:t>
      </w:r>
    </w:p>
    <w:p w:rsidR="009A7018" w:rsidRPr="00EA6281" w:rsidRDefault="009A7018" w:rsidP="00EA6281">
      <w:pPr>
        <w:spacing w:before="60" w:after="60" w:line="240" w:lineRule="auto"/>
        <w:ind w:left="567" w:hanging="567"/>
        <w:rPr>
          <w:rFonts w:ascii="Times New Roman" w:hAnsi="Times New Roman" w:cs="Times New Roman"/>
          <w:lang w:val="en-US"/>
        </w:rPr>
      </w:pPr>
      <w:r w:rsidRPr="00EA6281">
        <w:rPr>
          <w:rFonts w:ascii="Times New Roman" w:hAnsi="Times New Roman" w:cs="Times New Roman"/>
          <w:sz w:val="20"/>
          <w:szCs w:val="24"/>
          <w:lang w:val="en-GB"/>
        </w:rPr>
        <w:t xml:space="preserve">IEA/OECD/NEA (2009). The financing of Nuclear Power Plants  </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International Energy Agency. (2010). Protected Costs of Generating Electricity, France – EPR.</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Lucet F. P. (2015). Financing Nuclear Power Plant Projects A New Paradigm?, Centre Énergie</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MacDonald, M. (2010). UK Electricity Generation Costs Update, Brighton – O&amp;M Total.</w:t>
      </w:r>
    </w:p>
    <w:p w:rsidR="009A7018" w:rsidRPr="00EA6281" w:rsidRDefault="009A7018" w:rsidP="00EA6281">
      <w:pPr>
        <w:spacing w:before="60" w:after="60" w:line="240" w:lineRule="auto"/>
        <w:ind w:left="567" w:hanging="567"/>
        <w:jc w:val="both"/>
        <w:rPr>
          <w:rFonts w:ascii="Times New Roman" w:hAnsi="Times New Roman" w:cs="Times New Roman"/>
          <w:sz w:val="20"/>
          <w:szCs w:val="24"/>
          <w:lang w:val="en-GB"/>
        </w:rPr>
      </w:pPr>
      <w:r w:rsidRPr="00EA6281">
        <w:rPr>
          <w:rFonts w:ascii="Times New Roman" w:hAnsi="Times New Roman" w:cs="Times New Roman"/>
          <w:sz w:val="20"/>
          <w:szCs w:val="24"/>
          <w:lang w:val="en-GB"/>
        </w:rPr>
        <w:t>Matsuo Y. (2012). Summary and Evaluation of Cost Calculation for Nuclear Power Generation by the “Cost Estimation and Review Committee”</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NEA/OECD. (2012). International structure for decommissioning costing (ISDC) of nuclear installations.</w:t>
      </w:r>
    </w:p>
    <w:p w:rsidR="009A7018" w:rsidRPr="00EA6281" w:rsidRDefault="009A7018" w:rsidP="00EA6281">
      <w:pPr>
        <w:spacing w:before="60" w:after="60" w:line="240" w:lineRule="auto"/>
        <w:ind w:left="567" w:hanging="567"/>
        <w:jc w:val="both"/>
        <w:rPr>
          <w:rFonts w:ascii="Times New Roman" w:hAnsi="Times New Roman" w:cs="Times New Roman"/>
          <w:sz w:val="20"/>
          <w:szCs w:val="24"/>
          <w:lang w:val="en-GB"/>
        </w:rPr>
      </w:pPr>
      <w:r w:rsidRPr="00EA6281">
        <w:rPr>
          <w:rFonts w:ascii="Times New Roman" w:hAnsi="Times New Roman" w:cs="Times New Roman"/>
          <w:sz w:val="20"/>
          <w:szCs w:val="24"/>
          <w:lang w:val="en-GB"/>
        </w:rPr>
        <w:t>NEA. Uranium 2016: Resources, Production and Demand</w:t>
      </w:r>
    </w:p>
    <w:p w:rsidR="009A7018" w:rsidRPr="00EA6281" w:rsidRDefault="009A7018" w:rsidP="00EA6281">
      <w:pPr>
        <w:tabs>
          <w:tab w:val="left" w:pos="7134"/>
        </w:tabs>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NEI. (2010). U.S. Electricity Production Costs and Components.</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 xml:space="preserve">NERA. (2015). Electricity Generation Costs and Hurdle Rates Lot 1: Hurdle Rates update for Generation Technologies Prepared for the Department of Energy and Climate Change (DECC) </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Nippon Export and Investment Insurance. (2013).  The Role of Export Credits in NPP Financing</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Norges Bank Investment Management. The Equity Risk Premium, Discussion None, 2016.</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Nuclear Illustrative Programme Presented under Article 40 of the Euratom Treaty – Final (after opinion of EESC).</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OECD/NEA. Nuclear New Build: Insights into Financing and Project Management, Nuclear Development 2015</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OECD. (2016). OECD Financing rules for nuclear power projects</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OECD. 2009 Sector understanding on export credits for nuclear power plants, Trade and Agriculture Directorate, Participants to the arrangement on officially supported export credits</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OECD. (2017). The arrangement for officially supported export credits, Nuclear power plants,  Changes in Minimum Commercial Interest Reference Rates (CIRRs)</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OECD. (2017). The arrangement for officially supported export credits, Nuclear power plants, Commercial Interest Reference Rates (CIRRs)</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Parsons Brinckerhoff. (2012). Solar PV Cost Update.</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Ristö, T. &amp;Kivistö, A. (2008). Comparison of Electricity Generation Costs, Lappeenranta: Lappeenranta University of Technology Faculty of Technology Department of Energy and Environmental Technology.</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Rothschild. (2015). Economic analysis for the Paks II nuclear power project. A  rational investment case for Hungarian State Resources.</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The Nuclear Communication Network. (2014). The Cost Of A Nuclear Power Plant</w:t>
      </w:r>
    </w:p>
    <w:p w:rsidR="009A7018" w:rsidRPr="00EA6281" w:rsidRDefault="009A7018" w:rsidP="00EA6281">
      <w:pPr>
        <w:spacing w:before="60" w:after="60" w:line="240" w:lineRule="auto"/>
        <w:ind w:left="567" w:hanging="567"/>
        <w:rPr>
          <w:rFonts w:ascii="Times New Roman" w:hAnsi="Times New Roman" w:cs="Times New Roman"/>
          <w:sz w:val="20"/>
          <w:szCs w:val="24"/>
          <w:lang w:val="en-GB"/>
        </w:rPr>
      </w:pPr>
      <w:r w:rsidRPr="00EA6281">
        <w:rPr>
          <w:rFonts w:ascii="Times New Roman" w:hAnsi="Times New Roman" w:cs="Times New Roman"/>
          <w:sz w:val="20"/>
          <w:szCs w:val="24"/>
          <w:lang w:val="en-GB"/>
        </w:rPr>
        <w:t>World Nuclear Association. (2017). Nuclear Power Economics and Project Structuring</w:t>
      </w:r>
    </w:p>
    <w:p w:rsidR="009A7018" w:rsidRPr="00EA6281" w:rsidRDefault="009A7018" w:rsidP="00EA6281">
      <w:pPr>
        <w:spacing w:before="60" w:after="60" w:line="240" w:lineRule="auto"/>
        <w:rPr>
          <w:rFonts w:ascii="Times New Roman" w:hAnsi="Times New Roman" w:cs="Times New Roman"/>
          <w:sz w:val="20"/>
          <w:szCs w:val="24"/>
        </w:rPr>
      </w:pPr>
      <w:r w:rsidRPr="00EA6281">
        <w:rPr>
          <w:rFonts w:ascii="Times New Roman" w:hAnsi="Times New Roman" w:cs="Times New Roman"/>
          <w:sz w:val="20"/>
          <w:szCs w:val="24"/>
        </w:rPr>
        <w:t>„АЕЦ Козлодуй“ ЕАД, Бизнес програма за периода 2017-2021 година</w:t>
      </w:r>
    </w:p>
    <w:p w:rsidR="00F77D60" w:rsidRPr="00EA6281" w:rsidRDefault="009A7018" w:rsidP="00EA6281">
      <w:pPr>
        <w:spacing w:before="60" w:after="60" w:line="240" w:lineRule="auto"/>
        <w:rPr>
          <w:rFonts w:ascii="Times New Roman" w:eastAsia="Calibri" w:hAnsi="Times New Roman" w:cs="Times New Roman"/>
          <w:szCs w:val="24"/>
          <w:lang w:val="en-GB"/>
        </w:rPr>
      </w:pPr>
      <w:r w:rsidRPr="00EA6281">
        <w:rPr>
          <w:rFonts w:ascii="Times New Roman" w:hAnsi="Times New Roman" w:cs="Times New Roman"/>
          <w:sz w:val="20"/>
          <w:szCs w:val="24"/>
          <w:lang w:val="en-GB"/>
        </w:rPr>
        <w:t>Министерствотонафинансите. КонвергентнатапрограманаРепубликаБългария 2017-2020 г.</w:t>
      </w:r>
    </w:p>
    <w:sectPr w:rsidR="00F77D60" w:rsidRPr="00EA6281" w:rsidSect="00A534EE">
      <w:pgSz w:w="11906" w:h="16838"/>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8930A5" w16cid:durableId="1D57DF63"/>
  <w16cid:commentId w16cid:paraId="1A1C06C8" w16cid:durableId="1D57DFD2"/>
  <w16cid:commentId w16cid:paraId="403CDC28" w16cid:durableId="1D57E01F"/>
  <w16cid:commentId w16cid:paraId="581ADDEA" w16cid:durableId="1D5B8ECD"/>
  <w16cid:commentId w16cid:paraId="5DA32759" w16cid:durableId="1D5B8ECE"/>
  <w16cid:commentId w16cid:paraId="3438CF14" w16cid:durableId="1D5B8ECF"/>
  <w16cid:commentId w16cid:paraId="4CDBDAA5" w16cid:durableId="1D57E1D9"/>
  <w16cid:commentId w16cid:paraId="1D666482" w16cid:durableId="1D5B8ED1"/>
  <w16cid:commentId w16cid:paraId="0F37624C" w16cid:durableId="1D57E250"/>
  <w16cid:commentId w16cid:paraId="42F34341" w16cid:durableId="1D57DCF5"/>
  <w16cid:commentId w16cid:paraId="708D4855" w16cid:durableId="1D57E50C"/>
  <w16cid:commentId w16cid:paraId="771CCBC1" w16cid:durableId="1D57E522"/>
  <w16cid:commentId w16cid:paraId="26C19417" w16cid:durableId="1D57E530"/>
  <w16cid:commentId w16cid:paraId="51E25847" w16cid:durableId="1D5BA8A5"/>
  <w16cid:commentId w16cid:paraId="3F969C8E" w16cid:durableId="1D5B8ED7"/>
  <w16cid:commentId w16cid:paraId="63ACF7A9" w16cid:durableId="1D581038"/>
  <w16cid:commentId w16cid:paraId="68049929" w16cid:durableId="1D581042"/>
  <w16cid:commentId w16cid:paraId="62C69612" w16cid:durableId="1D5B9E79"/>
  <w16cid:commentId w16cid:paraId="3A7EECB9" w16cid:durableId="1D5B9E8A"/>
  <w16cid:commentId w16cid:paraId="7AC6C39D" w16cid:durableId="1D5B8EDA"/>
  <w16cid:commentId w16cid:paraId="6E248698" w16cid:durableId="1D5B8EDB"/>
  <w16cid:commentId w16cid:paraId="1CE2E453" w16cid:durableId="1D5B9F96"/>
  <w16cid:commentId w16cid:paraId="5EDDCA98" w16cid:durableId="1D5B8EDC"/>
  <w16cid:commentId w16cid:paraId="4831BD3C" w16cid:durableId="1D5B8EDD"/>
  <w16cid:commentId w16cid:paraId="637F98CC" w16cid:durableId="1D5BA90E"/>
  <w16cid:commentId w16cid:paraId="7C9F097F" w16cid:durableId="1D5BA158"/>
  <w16cid:commentId w16cid:paraId="6A23234A" w16cid:durableId="1D5BA19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AF8" w:rsidRDefault="00FA7AF8" w:rsidP="00753A81">
      <w:pPr>
        <w:spacing w:after="0" w:line="240" w:lineRule="auto"/>
      </w:pPr>
      <w:r>
        <w:separator/>
      </w:r>
    </w:p>
  </w:endnote>
  <w:endnote w:type="continuationSeparator" w:id="0">
    <w:p w:rsidR="00FA7AF8" w:rsidRDefault="00FA7AF8" w:rsidP="00753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Bold">
    <w:panose1 w:val="020208030705050203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52B" w:rsidRPr="00950BDF" w:rsidRDefault="0097530B" w:rsidP="00950BDF">
    <w:pPr>
      <w:pStyle w:val="Footer"/>
      <w:jc w:val="center"/>
      <w:rPr>
        <w:rFonts w:ascii="Times New Roman" w:hAnsi="Times New Roman" w:cs="Times New Roman"/>
        <w:sz w:val="16"/>
        <w:szCs w:val="16"/>
      </w:rPr>
    </w:pPr>
    <w:r w:rsidRPr="00950BDF">
      <w:rPr>
        <w:rFonts w:ascii="Times New Roman" w:hAnsi="Times New Roman" w:cs="Times New Roman"/>
        <w:sz w:val="16"/>
        <w:szCs w:val="16"/>
      </w:rPr>
      <w:fldChar w:fldCharType="begin"/>
    </w:r>
    <w:r w:rsidR="0030352B" w:rsidRPr="00950BDF">
      <w:rPr>
        <w:rFonts w:ascii="Times New Roman" w:hAnsi="Times New Roman" w:cs="Times New Roman"/>
        <w:sz w:val="16"/>
        <w:szCs w:val="16"/>
      </w:rPr>
      <w:instrText xml:space="preserve"> PAGE   \* MERGEFORMAT </w:instrText>
    </w:r>
    <w:r w:rsidRPr="00950BDF">
      <w:rPr>
        <w:rFonts w:ascii="Times New Roman" w:hAnsi="Times New Roman" w:cs="Times New Roman"/>
        <w:sz w:val="16"/>
        <w:szCs w:val="16"/>
      </w:rPr>
      <w:fldChar w:fldCharType="separate"/>
    </w:r>
    <w:r w:rsidR="009C1452">
      <w:rPr>
        <w:rFonts w:ascii="Times New Roman" w:hAnsi="Times New Roman" w:cs="Times New Roman"/>
        <w:noProof/>
        <w:sz w:val="16"/>
        <w:szCs w:val="16"/>
      </w:rPr>
      <w:t>68</w:t>
    </w:r>
    <w:r w:rsidRPr="00950BDF">
      <w:rPr>
        <w:rFonts w:ascii="Times New Roman" w:hAnsi="Times New Roman" w:cs="Times New Roman"/>
        <w:noProo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52B" w:rsidRPr="00EB3577" w:rsidRDefault="0030352B" w:rsidP="00EB3577">
    <w:pPr>
      <w:pStyle w:val="Footer"/>
      <w:jc w:val="center"/>
      <w:rPr>
        <w:rFonts w:ascii="Times New Roman" w:hAnsi="Times New Roman" w:cs="Times New Roman"/>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060623"/>
      <w:docPartObj>
        <w:docPartGallery w:val="Page Numbers (Bottom of Page)"/>
        <w:docPartUnique/>
      </w:docPartObj>
    </w:sdtPr>
    <w:sdtEndPr>
      <w:rPr>
        <w:noProof/>
      </w:rPr>
    </w:sdtEndPr>
    <w:sdtContent>
      <w:p w:rsidR="0030352B" w:rsidRDefault="0097530B" w:rsidP="002A0351">
        <w:pPr>
          <w:pStyle w:val="Footer"/>
          <w:jc w:val="center"/>
        </w:pPr>
        <w:r w:rsidRPr="002A0351">
          <w:rPr>
            <w:rFonts w:ascii="Times New Roman" w:hAnsi="Times New Roman" w:cs="Times New Roman"/>
            <w:sz w:val="16"/>
          </w:rPr>
          <w:fldChar w:fldCharType="begin"/>
        </w:r>
        <w:r w:rsidR="0030352B" w:rsidRPr="002A0351">
          <w:rPr>
            <w:rFonts w:ascii="Times New Roman" w:hAnsi="Times New Roman" w:cs="Times New Roman"/>
            <w:sz w:val="16"/>
          </w:rPr>
          <w:instrText xml:space="preserve"> PAGE   \* MERGEFORMAT </w:instrText>
        </w:r>
        <w:r w:rsidRPr="002A0351">
          <w:rPr>
            <w:rFonts w:ascii="Times New Roman" w:hAnsi="Times New Roman" w:cs="Times New Roman"/>
            <w:sz w:val="16"/>
          </w:rPr>
          <w:fldChar w:fldCharType="separate"/>
        </w:r>
        <w:r w:rsidR="009C1452">
          <w:rPr>
            <w:rFonts w:ascii="Times New Roman" w:hAnsi="Times New Roman" w:cs="Times New Roman"/>
            <w:noProof/>
            <w:sz w:val="16"/>
          </w:rPr>
          <w:t>73</w:t>
        </w:r>
        <w:r w:rsidRPr="002A0351">
          <w:rPr>
            <w:rFonts w:ascii="Times New Roman" w:hAnsi="Times New Roman" w:cs="Times New Roman"/>
            <w:noProof/>
            <w:sz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AF8" w:rsidRDefault="00FA7AF8" w:rsidP="00753A81">
      <w:pPr>
        <w:spacing w:after="0" w:line="240" w:lineRule="auto"/>
      </w:pPr>
      <w:r>
        <w:separator/>
      </w:r>
    </w:p>
  </w:footnote>
  <w:footnote w:type="continuationSeparator" w:id="0">
    <w:p w:rsidR="00FA7AF8" w:rsidRDefault="00FA7AF8" w:rsidP="00753A81">
      <w:pPr>
        <w:spacing w:after="0" w:line="240" w:lineRule="auto"/>
      </w:pPr>
      <w:r>
        <w:continuationSeparator/>
      </w:r>
    </w:p>
  </w:footnote>
  <w:footnote w:id="1">
    <w:p w:rsidR="0030352B" w:rsidRPr="00EA6281" w:rsidRDefault="0030352B" w:rsidP="00233DB8">
      <w:pPr>
        <w:pStyle w:val="FootnoteText"/>
        <w:jc w:val="both"/>
      </w:pPr>
      <w:r w:rsidRPr="00EA6281">
        <w:rPr>
          <w:rStyle w:val="FootnoteReference"/>
        </w:rPr>
        <w:footnoteRef/>
      </w:r>
      <w:r w:rsidRPr="00EA6281">
        <w:t xml:space="preserve"> Данни за средногодишната инфлация до 2020 г. са ползвани от Конвергентната програма на Република България. От 2021 г. данните са от становището на ЕС –Nuclear</w:t>
      </w:r>
      <w:r w:rsidR="00010DC4">
        <w:t xml:space="preserve"> </w:t>
      </w:r>
      <w:r w:rsidRPr="00EA6281">
        <w:t>Illustrative</w:t>
      </w:r>
      <w:r w:rsidR="00010DC4">
        <w:t xml:space="preserve"> </w:t>
      </w:r>
      <w:r w:rsidRPr="00EA6281">
        <w:t>Programme</w:t>
      </w:r>
      <w:r w:rsidR="00010DC4">
        <w:t xml:space="preserve"> </w:t>
      </w:r>
      <w:r w:rsidRPr="00EA6281">
        <w:t>Presented</w:t>
      </w:r>
      <w:r w:rsidR="00010DC4">
        <w:t xml:space="preserve"> </w:t>
      </w:r>
      <w:r w:rsidRPr="00EA6281">
        <w:t>under</w:t>
      </w:r>
      <w:r w:rsidR="00010DC4">
        <w:t xml:space="preserve"> </w:t>
      </w:r>
      <w:r w:rsidRPr="00EA6281">
        <w:t>Article 40 of</w:t>
      </w:r>
      <w:r w:rsidR="00010DC4">
        <w:t xml:space="preserve"> </w:t>
      </w:r>
      <w:r w:rsidRPr="00EA6281">
        <w:t>the</w:t>
      </w:r>
      <w:r w:rsidR="00010DC4">
        <w:t xml:space="preserve"> </w:t>
      </w:r>
      <w:r w:rsidRPr="00EA6281">
        <w:t>Euratom</w:t>
      </w:r>
      <w:r w:rsidR="00010DC4">
        <w:t xml:space="preserve"> </w:t>
      </w:r>
      <w:r w:rsidRPr="00EA6281">
        <w:t>Treaty</w:t>
      </w:r>
      <w:r w:rsidR="00010DC4">
        <w:t xml:space="preserve"> </w:t>
      </w:r>
      <w:r w:rsidRPr="00EA6281">
        <w:t>–</w:t>
      </w:r>
      <w:r w:rsidR="00010DC4">
        <w:t xml:space="preserve"> </w:t>
      </w:r>
      <w:r w:rsidRPr="00EA6281">
        <w:t>Final (after</w:t>
      </w:r>
      <w:r w:rsidR="00010DC4">
        <w:t xml:space="preserve"> </w:t>
      </w:r>
      <w:r w:rsidRPr="00EA6281">
        <w:t>opinion</w:t>
      </w:r>
      <w:r w:rsidR="00010DC4">
        <w:t xml:space="preserve"> </w:t>
      </w:r>
      <w:r w:rsidRPr="00EA6281">
        <w:t>of</w:t>
      </w:r>
      <w:r w:rsidR="00010DC4">
        <w:t xml:space="preserve"> </w:t>
      </w:r>
      <w:r w:rsidRPr="00EA6281">
        <w:t>EESC).</w:t>
      </w:r>
    </w:p>
  </w:footnote>
  <w:footnote w:id="2">
    <w:p w:rsidR="0030352B" w:rsidRPr="00EA6281" w:rsidRDefault="0030352B" w:rsidP="00233DB8">
      <w:pPr>
        <w:pStyle w:val="Default"/>
        <w:jc w:val="both"/>
        <w:rPr>
          <w:rFonts w:ascii="Times New Roman" w:hAnsi="Times New Roman" w:cs="Times New Roman"/>
          <w:sz w:val="20"/>
          <w:szCs w:val="20"/>
          <w:lang w:val="en-US"/>
        </w:rPr>
      </w:pPr>
      <w:r w:rsidRPr="00EA6281">
        <w:rPr>
          <w:rStyle w:val="FootnoteReference"/>
          <w:rFonts w:ascii="Times New Roman" w:hAnsi="Times New Roman" w:cs="Times New Roman"/>
          <w:sz w:val="20"/>
          <w:szCs w:val="20"/>
        </w:rPr>
        <w:footnoteRef/>
      </w:r>
      <w:r w:rsidR="00010DC4">
        <w:rPr>
          <w:rFonts w:ascii="Times New Roman" w:hAnsi="Times New Roman" w:cs="Times New Roman"/>
          <w:sz w:val="20"/>
          <w:szCs w:val="20"/>
        </w:rPr>
        <w:t xml:space="preserve"> </w:t>
      </w:r>
      <w:r w:rsidRPr="00EA6281">
        <w:rPr>
          <w:rFonts w:ascii="Times New Roman" w:hAnsi="Times New Roman" w:cs="Times New Roman"/>
          <w:sz w:val="20"/>
          <w:szCs w:val="20"/>
          <w:lang w:val="en-US"/>
        </w:rPr>
        <w:t>European Commission</w:t>
      </w:r>
      <w:r w:rsidRPr="00EA6281">
        <w:rPr>
          <w:rFonts w:ascii="Times New Roman" w:hAnsi="Times New Roman" w:cs="Times New Roman"/>
          <w:sz w:val="20"/>
          <w:szCs w:val="20"/>
        </w:rPr>
        <w:t>.</w:t>
      </w:r>
      <w:r w:rsidRPr="00EA6281">
        <w:rPr>
          <w:rFonts w:ascii="Times New Roman" w:hAnsi="Times New Roman" w:cs="Times New Roman"/>
          <w:caps/>
          <w:sz w:val="20"/>
          <w:szCs w:val="20"/>
        </w:rPr>
        <w:t>c</w:t>
      </w:r>
      <w:r w:rsidRPr="00EA6281">
        <w:rPr>
          <w:rFonts w:ascii="Times New Roman" w:hAnsi="Times New Roman" w:cs="Times New Roman"/>
          <w:sz w:val="20"/>
          <w:szCs w:val="20"/>
        </w:rPr>
        <w:t>ommission</w:t>
      </w:r>
      <w:r w:rsidR="00010DC4">
        <w:rPr>
          <w:rFonts w:ascii="Times New Roman" w:hAnsi="Times New Roman" w:cs="Times New Roman"/>
          <w:sz w:val="20"/>
          <w:szCs w:val="20"/>
        </w:rPr>
        <w:t xml:space="preserve"> </w:t>
      </w:r>
      <w:r w:rsidRPr="00EA6281">
        <w:rPr>
          <w:rFonts w:ascii="Times New Roman" w:hAnsi="Times New Roman" w:cs="Times New Roman"/>
          <w:caps/>
          <w:sz w:val="20"/>
          <w:szCs w:val="20"/>
        </w:rPr>
        <w:t>s</w:t>
      </w:r>
      <w:r w:rsidRPr="00EA6281">
        <w:rPr>
          <w:rFonts w:ascii="Times New Roman" w:hAnsi="Times New Roman" w:cs="Times New Roman"/>
          <w:sz w:val="20"/>
          <w:szCs w:val="20"/>
        </w:rPr>
        <w:t>taff</w:t>
      </w:r>
      <w:r w:rsidR="00010DC4">
        <w:rPr>
          <w:rFonts w:ascii="Times New Roman" w:hAnsi="Times New Roman" w:cs="Times New Roman"/>
          <w:sz w:val="20"/>
          <w:szCs w:val="20"/>
        </w:rPr>
        <w:t xml:space="preserve"> </w:t>
      </w:r>
      <w:r w:rsidRPr="00EA6281">
        <w:rPr>
          <w:rFonts w:ascii="Times New Roman" w:hAnsi="Times New Roman" w:cs="Times New Roman"/>
          <w:sz w:val="20"/>
          <w:szCs w:val="20"/>
        </w:rPr>
        <w:t>working</w:t>
      </w:r>
      <w:r w:rsidR="00010DC4">
        <w:rPr>
          <w:rFonts w:ascii="Times New Roman" w:hAnsi="Times New Roman" w:cs="Times New Roman"/>
          <w:sz w:val="20"/>
          <w:szCs w:val="20"/>
        </w:rPr>
        <w:t xml:space="preserve"> </w:t>
      </w:r>
      <w:r w:rsidRPr="00EA6281">
        <w:rPr>
          <w:rFonts w:ascii="Times New Roman" w:hAnsi="Times New Roman" w:cs="Times New Roman"/>
          <w:caps/>
          <w:sz w:val="20"/>
          <w:szCs w:val="20"/>
        </w:rPr>
        <w:t>d</w:t>
      </w:r>
      <w:r w:rsidRPr="00EA6281">
        <w:rPr>
          <w:rFonts w:ascii="Times New Roman" w:hAnsi="Times New Roman" w:cs="Times New Roman"/>
          <w:sz w:val="20"/>
          <w:szCs w:val="20"/>
        </w:rPr>
        <w:t>ocument</w:t>
      </w:r>
      <w:r w:rsidR="00010DC4">
        <w:rPr>
          <w:rFonts w:ascii="Times New Roman" w:hAnsi="Times New Roman" w:cs="Times New Roman"/>
          <w:sz w:val="20"/>
          <w:szCs w:val="20"/>
        </w:rPr>
        <w:t xml:space="preserve"> </w:t>
      </w:r>
      <w:r w:rsidRPr="00EA6281">
        <w:rPr>
          <w:rFonts w:ascii="Times New Roman" w:hAnsi="Times New Roman" w:cs="Times New Roman"/>
          <w:sz w:val="20"/>
          <w:szCs w:val="20"/>
          <w:lang w:val="en-US"/>
        </w:rPr>
        <w:t>a</w:t>
      </w:r>
      <w:r w:rsidRPr="00EA6281">
        <w:rPr>
          <w:rFonts w:ascii="Times New Roman" w:hAnsi="Times New Roman" w:cs="Times New Roman"/>
          <w:sz w:val="20"/>
          <w:szCs w:val="20"/>
        </w:rPr>
        <w:t>ccompanying</w:t>
      </w:r>
      <w:r w:rsidR="00010DC4">
        <w:rPr>
          <w:rFonts w:ascii="Times New Roman" w:hAnsi="Times New Roman" w:cs="Times New Roman"/>
          <w:sz w:val="20"/>
          <w:szCs w:val="20"/>
        </w:rPr>
        <w:t xml:space="preserve"> </w:t>
      </w:r>
      <w:r w:rsidRPr="00EA6281">
        <w:rPr>
          <w:rFonts w:ascii="Times New Roman" w:hAnsi="Times New Roman" w:cs="Times New Roman"/>
          <w:sz w:val="20"/>
          <w:szCs w:val="20"/>
        </w:rPr>
        <w:t>the</w:t>
      </w:r>
      <w:r w:rsidR="00010DC4">
        <w:rPr>
          <w:rFonts w:ascii="Times New Roman" w:hAnsi="Times New Roman" w:cs="Times New Roman"/>
          <w:sz w:val="20"/>
          <w:szCs w:val="20"/>
        </w:rPr>
        <w:t xml:space="preserve"> </w:t>
      </w:r>
      <w:r w:rsidRPr="00EA6281">
        <w:rPr>
          <w:rFonts w:ascii="Times New Roman" w:hAnsi="Times New Roman" w:cs="Times New Roman"/>
          <w:sz w:val="20"/>
          <w:szCs w:val="20"/>
        </w:rPr>
        <w:t>document</w:t>
      </w:r>
      <w:r w:rsidR="00010DC4">
        <w:rPr>
          <w:rFonts w:ascii="Times New Roman" w:hAnsi="Times New Roman" w:cs="Times New Roman"/>
          <w:sz w:val="20"/>
          <w:szCs w:val="20"/>
        </w:rPr>
        <w:t xml:space="preserve"> </w:t>
      </w:r>
      <w:r w:rsidRPr="00EA6281">
        <w:rPr>
          <w:rFonts w:ascii="Times New Roman" w:hAnsi="Times New Roman" w:cs="Times New Roman"/>
          <w:sz w:val="20"/>
          <w:szCs w:val="20"/>
        </w:rPr>
        <w:t>Communication</w:t>
      </w:r>
      <w:r w:rsidR="00010DC4">
        <w:rPr>
          <w:rFonts w:ascii="Times New Roman" w:hAnsi="Times New Roman" w:cs="Times New Roman"/>
          <w:sz w:val="20"/>
          <w:szCs w:val="20"/>
        </w:rPr>
        <w:t xml:space="preserve"> </w:t>
      </w:r>
      <w:r w:rsidRPr="00EA6281">
        <w:rPr>
          <w:rFonts w:ascii="Times New Roman" w:hAnsi="Times New Roman" w:cs="Times New Roman"/>
          <w:sz w:val="20"/>
          <w:szCs w:val="20"/>
        </w:rPr>
        <w:t>from</w:t>
      </w:r>
      <w:r w:rsidR="00010DC4">
        <w:rPr>
          <w:rFonts w:ascii="Times New Roman" w:hAnsi="Times New Roman" w:cs="Times New Roman"/>
          <w:sz w:val="20"/>
          <w:szCs w:val="20"/>
        </w:rPr>
        <w:t xml:space="preserve"> </w:t>
      </w:r>
      <w:r w:rsidRPr="00EA6281">
        <w:rPr>
          <w:rFonts w:ascii="Times New Roman" w:hAnsi="Times New Roman" w:cs="Times New Roman"/>
          <w:sz w:val="20"/>
          <w:szCs w:val="20"/>
        </w:rPr>
        <w:t>the</w:t>
      </w:r>
      <w:r w:rsidR="00010DC4">
        <w:rPr>
          <w:rFonts w:ascii="Times New Roman" w:hAnsi="Times New Roman" w:cs="Times New Roman"/>
          <w:sz w:val="20"/>
          <w:szCs w:val="20"/>
        </w:rPr>
        <w:t xml:space="preserve"> </w:t>
      </w:r>
      <w:r w:rsidRPr="00EA6281">
        <w:rPr>
          <w:rFonts w:ascii="Times New Roman" w:hAnsi="Times New Roman" w:cs="Times New Roman"/>
          <w:sz w:val="20"/>
          <w:szCs w:val="20"/>
        </w:rPr>
        <w:t>Commission</w:t>
      </w:r>
      <w:r w:rsidR="00010DC4">
        <w:rPr>
          <w:rFonts w:ascii="Times New Roman" w:hAnsi="Times New Roman" w:cs="Times New Roman"/>
          <w:sz w:val="20"/>
          <w:szCs w:val="20"/>
        </w:rPr>
        <w:t xml:space="preserve"> </w:t>
      </w:r>
      <w:r w:rsidRPr="00EA6281">
        <w:rPr>
          <w:rFonts w:ascii="Times New Roman" w:hAnsi="Times New Roman" w:cs="Times New Roman"/>
          <w:sz w:val="20"/>
          <w:szCs w:val="20"/>
        </w:rPr>
        <w:t>Nuclear</w:t>
      </w:r>
      <w:r w:rsidR="00010DC4">
        <w:rPr>
          <w:rFonts w:ascii="Times New Roman" w:hAnsi="Times New Roman" w:cs="Times New Roman"/>
          <w:sz w:val="20"/>
          <w:szCs w:val="20"/>
        </w:rPr>
        <w:t xml:space="preserve"> </w:t>
      </w:r>
      <w:r w:rsidRPr="00EA6281">
        <w:rPr>
          <w:rFonts w:ascii="Times New Roman" w:hAnsi="Times New Roman" w:cs="Times New Roman"/>
          <w:sz w:val="20"/>
          <w:szCs w:val="20"/>
        </w:rPr>
        <w:t>Illustrative</w:t>
      </w:r>
      <w:r w:rsidR="00010DC4">
        <w:rPr>
          <w:rFonts w:ascii="Times New Roman" w:hAnsi="Times New Roman" w:cs="Times New Roman"/>
          <w:sz w:val="20"/>
          <w:szCs w:val="20"/>
        </w:rPr>
        <w:t xml:space="preserve"> </w:t>
      </w:r>
      <w:r w:rsidRPr="00EA6281">
        <w:rPr>
          <w:rFonts w:ascii="Times New Roman" w:hAnsi="Times New Roman" w:cs="Times New Roman"/>
          <w:sz w:val="20"/>
          <w:szCs w:val="20"/>
        </w:rPr>
        <w:t>Programme</w:t>
      </w:r>
      <w:r w:rsidR="00010DC4">
        <w:rPr>
          <w:rFonts w:ascii="Times New Roman" w:hAnsi="Times New Roman" w:cs="Times New Roman"/>
          <w:sz w:val="20"/>
          <w:szCs w:val="20"/>
        </w:rPr>
        <w:t xml:space="preserve"> </w:t>
      </w:r>
      <w:r w:rsidRPr="00EA6281">
        <w:rPr>
          <w:rFonts w:ascii="Times New Roman" w:hAnsi="Times New Roman" w:cs="Times New Roman"/>
          <w:sz w:val="20"/>
          <w:szCs w:val="20"/>
        </w:rPr>
        <w:t>Presented</w:t>
      </w:r>
      <w:r w:rsidR="00010DC4">
        <w:rPr>
          <w:rFonts w:ascii="Times New Roman" w:hAnsi="Times New Roman" w:cs="Times New Roman"/>
          <w:sz w:val="20"/>
          <w:szCs w:val="20"/>
        </w:rPr>
        <w:t xml:space="preserve"> </w:t>
      </w:r>
      <w:r w:rsidRPr="00EA6281">
        <w:rPr>
          <w:rFonts w:ascii="Times New Roman" w:hAnsi="Times New Roman" w:cs="Times New Roman"/>
          <w:sz w:val="20"/>
          <w:szCs w:val="20"/>
        </w:rPr>
        <w:t>under</w:t>
      </w:r>
      <w:r w:rsidR="00010DC4">
        <w:rPr>
          <w:rFonts w:ascii="Times New Roman" w:hAnsi="Times New Roman" w:cs="Times New Roman"/>
          <w:sz w:val="20"/>
          <w:szCs w:val="20"/>
        </w:rPr>
        <w:t xml:space="preserve"> </w:t>
      </w:r>
      <w:r w:rsidRPr="00EA6281">
        <w:rPr>
          <w:rFonts w:ascii="Times New Roman" w:hAnsi="Times New Roman" w:cs="Times New Roman"/>
          <w:sz w:val="20"/>
          <w:szCs w:val="20"/>
        </w:rPr>
        <w:t>Article 40 of</w:t>
      </w:r>
      <w:r w:rsidR="00010DC4">
        <w:rPr>
          <w:rFonts w:ascii="Times New Roman" w:hAnsi="Times New Roman" w:cs="Times New Roman"/>
          <w:sz w:val="20"/>
          <w:szCs w:val="20"/>
        </w:rPr>
        <w:t xml:space="preserve"> </w:t>
      </w:r>
      <w:r w:rsidRPr="00EA6281">
        <w:rPr>
          <w:rFonts w:ascii="Times New Roman" w:hAnsi="Times New Roman" w:cs="Times New Roman"/>
          <w:sz w:val="20"/>
          <w:szCs w:val="20"/>
        </w:rPr>
        <w:t>the</w:t>
      </w:r>
      <w:r w:rsidR="00010DC4">
        <w:rPr>
          <w:rFonts w:ascii="Times New Roman" w:hAnsi="Times New Roman" w:cs="Times New Roman"/>
          <w:sz w:val="20"/>
          <w:szCs w:val="20"/>
        </w:rPr>
        <w:t xml:space="preserve"> </w:t>
      </w:r>
      <w:r w:rsidRPr="00EA6281">
        <w:rPr>
          <w:rFonts w:ascii="Times New Roman" w:hAnsi="Times New Roman" w:cs="Times New Roman"/>
          <w:sz w:val="20"/>
          <w:szCs w:val="20"/>
        </w:rPr>
        <w:t>Euratom</w:t>
      </w:r>
      <w:r w:rsidR="00010DC4">
        <w:rPr>
          <w:rFonts w:ascii="Times New Roman" w:hAnsi="Times New Roman" w:cs="Times New Roman"/>
          <w:sz w:val="20"/>
          <w:szCs w:val="20"/>
        </w:rPr>
        <w:t xml:space="preserve"> </w:t>
      </w:r>
      <w:r w:rsidRPr="00EA6281">
        <w:rPr>
          <w:rFonts w:ascii="Times New Roman" w:hAnsi="Times New Roman" w:cs="Times New Roman"/>
          <w:sz w:val="20"/>
          <w:szCs w:val="20"/>
        </w:rPr>
        <w:t>Treaty</w:t>
      </w:r>
      <w:r w:rsidR="00010DC4">
        <w:rPr>
          <w:rFonts w:ascii="Times New Roman" w:hAnsi="Times New Roman" w:cs="Times New Roman"/>
          <w:sz w:val="20"/>
          <w:szCs w:val="20"/>
        </w:rPr>
        <w:t xml:space="preserve"> </w:t>
      </w:r>
      <w:r w:rsidRPr="00EA6281">
        <w:rPr>
          <w:rFonts w:ascii="Times New Roman" w:hAnsi="Times New Roman" w:cs="Times New Roman"/>
          <w:sz w:val="20"/>
          <w:szCs w:val="20"/>
        </w:rPr>
        <w:t>–</w:t>
      </w:r>
      <w:r w:rsidR="00010DC4">
        <w:rPr>
          <w:rFonts w:ascii="Times New Roman" w:hAnsi="Times New Roman" w:cs="Times New Roman"/>
          <w:sz w:val="20"/>
          <w:szCs w:val="20"/>
        </w:rPr>
        <w:t xml:space="preserve"> </w:t>
      </w:r>
      <w:r w:rsidRPr="00EA6281">
        <w:rPr>
          <w:rFonts w:ascii="Times New Roman" w:hAnsi="Times New Roman" w:cs="Times New Roman"/>
          <w:sz w:val="20"/>
          <w:szCs w:val="20"/>
        </w:rPr>
        <w:t>Final (after</w:t>
      </w:r>
      <w:r w:rsidR="00010DC4">
        <w:rPr>
          <w:rFonts w:ascii="Times New Roman" w:hAnsi="Times New Roman" w:cs="Times New Roman"/>
          <w:sz w:val="20"/>
          <w:szCs w:val="20"/>
        </w:rPr>
        <w:t xml:space="preserve"> </w:t>
      </w:r>
      <w:r w:rsidRPr="00EA6281">
        <w:rPr>
          <w:rFonts w:ascii="Times New Roman" w:hAnsi="Times New Roman" w:cs="Times New Roman"/>
          <w:sz w:val="20"/>
          <w:szCs w:val="20"/>
        </w:rPr>
        <w:t>opinion</w:t>
      </w:r>
      <w:r w:rsidR="00010DC4">
        <w:rPr>
          <w:rFonts w:ascii="Times New Roman" w:hAnsi="Times New Roman" w:cs="Times New Roman"/>
          <w:sz w:val="20"/>
          <w:szCs w:val="20"/>
        </w:rPr>
        <w:t xml:space="preserve"> </w:t>
      </w:r>
      <w:r w:rsidRPr="00EA6281">
        <w:rPr>
          <w:rFonts w:ascii="Times New Roman" w:hAnsi="Times New Roman" w:cs="Times New Roman"/>
          <w:sz w:val="20"/>
          <w:szCs w:val="20"/>
        </w:rPr>
        <w:t>of</w:t>
      </w:r>
      <w:r w:rsidR="00010DC4">
        <w:rPr>
          <w:rFonts w:ascii="Times New Roman" w:hAnsi="Times New Roman" w:cs="Times New Roman"/>
          <w:sz w:val="20"/>
          <w:szCs w:val="20"/>
        </w:rPr>
        <w:t xml:space="preserve"> </w:t>
      </w:r>
      <w:r w:rsidRPr="00EA6281">
        <w:rPr>
          <w:rFonts w:ascii="Times New Roman" w:hAnsi="Times New Roman" w:cs="Times New Roman"/>
          <w:sz w:val="20"/>
          <w:szCs w:val="20"/>
        </w:rPr>
        <w:t>EESC) {COM(2017) 237 final}</w:t>
      </w:r>
      <w:r w:rsidRPr="00EA6281">
        <w:rPr>
          <w:rFonts w:ascii="Times New Roman" w:hAnsi="Times New Roman" w:cs="Times New Roman"/>
          <w:sz w:val="20"/>
          <w:szCs w:val="20"/>
          <w:lang w:val="en-US"/>
        </w:rPr>
        <w:t>, Brussels, 2017.</w:t>
      </w:r>
    </w:p>
  </w:footnote>
  <w:footnote w:id="3">
    <w:p w:rsidR="0030352B" w:rsidRPr="00EA6281" w:rsidRDefault="0030352B" w:rsidP="00233DB8">
      <w:pPr>
        <w:pStyle w:val="FootnoteText"/>
        <w:jc w:val="both"/>
      </w:pPr>
      <w:r w:rsidRPr="00EA6281">
        <w:rPr>
          <w:rStyle w:val="FootnoteReference"/>
        </w:rPr>
        <w:footnoteRef/>
      </w:r>
      <w:r w:rsidRPr="00EA6281">
        <w:t xml:space="preserve"> Пак там.</w:t>
      </w:r>
    </w:p>
  </w:footnote>
  <w:footnote w:id="4">
    <w:p w:rsidR="0030352B" w:rsidRPr="00EA6281" w:rsidRDefault="0030352B" w:rsidP="00233DB8">
      <w:pPr>
        <w:pStyle w:val="FootnoteText"/>
        <w:rPr>
          <w:lang w:val="en-US"/>
        </w:rPr>
      </w:pPr>
      <w:r w:rsidRPr="00EA6281">
        <w:rPr>
          <w:rStyle w:val="FootnoteReference"/>
        </w:rPr>
        <w:footnoteRef/>
      </w:r>
      <w:r w:rsidRPr="00EA6281">
        <w:t xml:space="preserve"> https://produkte.erstegroup.com.</w:t>
      </w:r>
    </w:p>
  </w:footnote>
  <w:footnote w:id="5">
    <w:p w:rsidR="0030352B" w:rsidRPr="00EA6281" w:rsidRDefault="0030352B" w:rsidP="00233DB8">
      <w:pPr>
        <w:pStyle w:val="FootnoteText"/>
        <w:jc w:val="both"/>
      </w:pPr>
      <w:r w:rsidRPr="00EA6281">
        <w:rPr>
          <w:rStyle w:val="FootnoteReference"/>
        </w:rPr>
        <w:footnoteRef/>
      </w:r>
      <w:r w:rsidRPr="00EA6281">
        <w:t xml:space="preserve"> </w:t>
      </w:r>
      <w:r w:rsidRPr="00EA6281">
        <w:rPr>
          <w:lang w:val="en-US"/>
        </w:rPr>
        <w:t>The Role of Export Credits in NPP Financing, NEXI: Nippon Export and Investment Insurance, September 2013</w:t>
      </w:r>
    </w:p>
  </w:footnote>
  <w:footnote w:id="6">
    <w:p w:rsidR="0030352B" w:rsidRPr="00EA6281" w:rsidRDefault="0030352B" w:rsidP="00233DB8">
      <w:pPr>
        <w:pStyle w:val="FootnoteText"/>
        <w:jc w:val="both"/>
        <w:rPr>
          <w:lang w:val="en-US"/>
        </w:rPr>
      </w:pPr>
      <w:r w:rsidRPr="00EA6281">
        <w:rPr>
          <w:rStyle w:val="FootnoteReference"/>
        </w:rPr>
        <w:footnoteRef/>
      </w:r>
      <w:r w:rsidRPr="00EA6281">
        <w:t xml:space="preserve"> </w:t>
      </w:r>
      <w:r w:rsidRPr="00EA6281">
        <w:rPr>
          <w:lang w:val="en-US"/>
        </w:rPr>
        <w:t>OECD., 2017 Sector Understanding On Export Credits For Nuclear Power Plants, Trade And Agriculture Directorate, Participants To The Arrangement On Officially Supported Export Credits, TAD/PG(2017)</w:t>
      </w:r>
    </w:p>
  </w:footnote>
  <w:footnote w:id="7">
    <w:p w:rsidR="0030352B" w:rsidRPr="00EA6281" w:rsidRDefault="0030352B" w:rsidP="00233DB8">
      <w:pPr>
        <w:pStyle w:val="FootnoteText"/>
        <w:jc w:val="both"/>
      </w:pPr>
      <w:r w:rsidRPr="00EA6281">
        <w:rPr>
          <w:rStyle w:val="FootnoteReference"/>
        </w:rPr>
        <w:footnoteRef/>
      </w:r>
      <w:r w:rsidRPr="00EA6281">
        <w:rPr>
          <w:lang w:val="en-US"/>
        </w:rPr>
        <w:t>Projected Costs of Generating Electricity 2015, International Energy Agency (IEA/OECD/NEA)</w:t>
      </w:r>
      <w:r w:rsidRPr="00EA6281">
        <w:t>.</w:t>
      </w:r>
    </w:p>
  </w:footnote>
  <w:footnote w:id="8">
    <w:p w:rsidR="0030352B" w:rsidRPr="00EA6281" w:rsidRDefault="0030352B" w:rsidP="00233DB8">
      <w:pPr>
        <w:pStyle w:val="FootnoteText"/>
        <w:jc w:val="both"/>
      </w:pPr>
      <w:r w:rsidRPr="00EA6281">
        <w:rPr>
          <w:rStyle w:val="FootnoteReference"/>
        </w:rPr>
        <w:footnoteRef/>
      </w:r>
      <w:r w:rsidRPr="00EA6281">
        <w:t xml:space="preserve"> </w:t>
      </w:r>
      <w:r w:rsidRPr="00EA6281">
        <w:rPr>
          <w:lang w:val="en-US"/>
        </w:rPr>
        <w:t>Norges Bank Investment Management.</w:t>
      </w:r>
      <w:r w:rsidRPr="00EA6281">
        <w:t xml:space="preserve"> (</w:t>
      </w:r>
      <w:r w:rsidRPr="00EA6281">
        <w:rPr>
          <w:lang w:val="en-US"/>
        </w:rPr>
        <w:t>2016</w:t>
      </w:r>
      <w:r w:rsidRPr="00EA6281">
        <w:t xml:space="preserve">). </w:t>
      </w:r>
      <w:r w:rsidRPr="00EA6281">
        <w:rPr>
          <w:lang w:val="en-US"/>
        </w:rPr>
        <w:t>The Equity Risk Premium, Discussion None</w:t>
      </w:r>
      <w:r w:rsidRPr="00EA6281">
        <w:t>.</w:t>
      </w:r>
    </w:p>
  </w:footnote>
  <w:footnote w:id="9">
    <w:p w:rsidR="0030352B" w:rsidRPr="00EA6281" w:rsidRDefault="0030352B" w:rsidP="00233DB8">
      <w:pPr>
        <w:pStyle w:val="FootnoteText"/>
        <w:jc w:val="both"/>
      </w:pPr>
      <w:r w:rsidRPr="00EA6281">
        <w:rPr>
          <w:rStyle w:val="FootnoteReference"/>
        </w:rPr>
        <w:footnoteRef/>
      </w:r>
      <w:r w:rsidRPr="00EA6281">
        <w:t xml:space="preserve"> Damodaran, A. (2017). Equity RiskPremiums (ERP): Determinants, EstimationandImplications – The 2017 Edition, SternSchoolofBusiness.</w:t>
      </w:r>
    </w:p>
  </w:footnote>
  <w:footnote w:id="10">
    <w:p w:rsidR="0030352B" w:rsidRPr="00EA6281" w:rsidRDefault="0030352B" w:rsidP="00233DB8">
      <w:pPr>
        <w:pStyle w:val="FootnoteText"/>
      </w:pPr>
      <w:r w:rsidRPr="00EA6281">
        <w:rPr>
          <w:rStyle w:val="FootnoteReference"/>
        </w:rPr>
        <w:footnoteRef/>
      </w:r>
      <w:r w:rsidRPr="00EA6281">
        <w:t xml:space="preserve"> </w:t>
      </w:r>
      <w:r w:rsidRPr="00EA6281">
        <w:rPr>
          <w:lang w:val="en-US"/>
        </w:rPr>
        <w:t>Electricity Generation Costs and Hurdle Rates, NERA Economic Consulting, July 2015.</w:t>
      </w:r>
    </w:p>
  </w:footnote>
  <w:footnote w:id="11">
    <w:p w:rsidR="0030352B" w:rsidRPr="00EA6281" w:rsidRDefault="0030352B" w:rsidP="00EA6281">
      <w:pPr>
        <w:spacing w:after="0" w:line="240" w:lineRule="auto"/>
        <w:jc w:val="both"/>
        <w:rPr>
          <w:rFonts w:ascii="Times New Roman" w:hAnsi="Times New Roman" w:cs="Times New Roman"/>
          <w:b/>
          <w:sz w:val="20"/>
          <w:szCs w:val="20"/>
        </w:rPr>
      </w:pPr>
      <w:r w:rsidRPr="00EA6281">
        <w:rPr>
          <w:rStyle w:val="FootnoteReference"/>
          <w:rFonts w:ascii="Times New Roman" w:hAnsi="Times New Roman" w:cs="Times New Roman"/>
          <w:sz w:val="20"/>
          <w:szCs w:val="20"/>
        </w:rPr>
        <w:footnoteRef/>
      </w:r>
      <w:r w:rsidRPr="00EA6281">
        <w:rPr>
          <w:rFonts w:ascii="Times New Roman" w:hAnsi="Times New Roman" w:cs="Times New Roman"/>
          <w:sz w:val="20"/>
          <w:szCs w:val="20"/>
        </w:rPr>
        <w:t xml:space="preserve"> В алгоритъма за пресмятане не е включена печалбата за инвеститорите. Очевидно е, че при включването й дефицитите ще бъдат значително по-големи.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E2E"/>
    <w:multiLevelType w:val="hybridMultilevel"/>
    <w:tmpl w:val="02AE0B38"/>
    <w:lvl w:ilvl="0" w:tplc="04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0D3578A"/>
    <w:multiLevelType w:val="hybridMultilevel"/>
    <w:tmpl w:val="AF8AEBD6"/>
    <w:lvl w:ilvl="0" w:tplc="91DE8638">
      <w:numFmt w:val="bullet"/>
      <w:lvlText w:val="•"/>
      <w:lvlJc w:val="left"/>
      <w:pPr>
        <w:ind w:left="1070" w:hanging="710"/>
      </w:pPr>
      <w:rPr>
        <w:rFonts w:ascii="Calibri" w:eastAsia="Times New Roman"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27A42DD"/>
    <w:multiLevelType w:val="hybridMultilevel"/>
    <w:tmpl w:val="BC209790"/>
    <w:lvl w:ilvl="0" w:tplc="91DE8638">
      <w:numFmt w:val="bullet"/>
      <w:lvlText w:val="•"/>
      <w:lvlJc w:val="left"/>
      <w:pPr>
        <w:ind w:left="1430" w:hanging="710"/>
      </w:pPr>
      <w:rPr>
        <w:rFonts w:ascii="Calibri" w:eastAsia="Times New Roman" w:hAnsi="Calibri" w:cs="Calibri"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
    <w:nsid w:val="040D1A52"/>
    <w:multiLevelType w:val="multilevel"/>
    <w:tmpl w:val="EF7E52A6"/>
    <w:lvl w:ilvl="0">
      <w:start w:val="1"/>
      <w:numFmt w:val="bullet"/>
      <w:lvlText w:val=""/>
      <w:lvlJc w:val="left"/>
      <w:pPr>
        <w:ind w:left="720" w:hanging="360"/>
      </w:pPr>
      <w:rPr>
        <w:rFonts w:ascii="Symbol" w:hAnsi="Symbol" w:hint="default"/>
        <w:sz w:val="23"/>
      </w:rPr>
    </w:lvl>
    <w:lvl w:ilvl="1">
      <w:start w:val="1"/>
      <w:numFmt w:val="bullet"/>
      <w:lvlText w:val=""/>
      <w:lvlJc w:val="left"/>
      <w:pPr>
        <w:ind w:left="1152" w:hanging="432"/>
      </w:pPr>
      <w:rPr>
        <w:rFonts w:ascii="Symbol" w:hAnsi="Symbol" w:hint="default"/>
        <w:sz w:val="23"/>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nsid w:val="087B7DC1"/>
    <w:multiLevelType w:val="hybridMultilevel"/>
    <w:tmpl w:val="40D478D4"/>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nsid w:val="09D73986"/>
    <w:multiLevelType w:val="hybridMultilevel"/>
    <w:tmpl w:val="1C044C64"/>
    <w:lvl w:ilvl="0" w:tplc="91DE8638">
      <w:numFmt w:val="bullet"/>
      <w:lvlText w:val="•"/>
      <w:lvlJc w:val="left"/>
      <w:pPr>
        <w:ind w:left="1070" w:hanging="710"/>
      </w:pPr>
      <w:rPr>
        <w:rFonts w:ascii="Calibri" w:eastAsia="Times New Roman"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0B9D379D"/>
    <w:multiLevelType w:val="hybridMultilevel"/>
    <w:tmpl w:val="8A76364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0F590A5C"/>
    <w:multiLevelType w:val="hybridMultilevel"/>
    <w:tmpl w:val="3392BA54"/>
    <w:lvl w:ilvl="0" w:tplc="91DE8638">
      <w:numFmt w:val="bullet"/>
      <w:lvlText w:val="•"/>
      <w:lvlJc w:val="left"/>
      <w:pPr>
        <w:ind w:left="1430" w:hanging="710"/>
      </w:pPr>
      <w:rPr>
        <w:rFonts w:ascii="Calibri" w:eastAsia="Times New Roman" w:hAnsi="Calibri" w:cs="Calibri"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8">
    <w:nsid w:val="148E4A35"/>
    <w:multiLevelType w:val="hybridMultilevel"/>
    <w:tmpl w:val="3F46F4E2"/>
    <w:lvl w:ilvl="0" w:tplc="0402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6630F61"/>
    <w:multiLevelType w:val="hybridMultilevel"/>
    <w:tmpl w:val="3BF46124"/>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
    <w:nsid w:val="250A316B"/>
    <w:multiLevelType w:val="multilevel"/>
    <w:tmpl w:val="587049D0"/>
    <w:lvl w:ilvl="0">
      <w:start w:val="1"/>
      <w:numFmt w:val="decimal"/>
      <w:lvlText w:val="%1."/>
      <w:lvlJc w:val="left"/>
      <w:pPr>
        <w:ind w:left="360" w:hanging="360"/>
      </w:pPr>
      <w:rPr>
        <w:rFonts w:hint="default"/>
      </w:rPr>
    </w:lvl>
    <w:lvl w:ilvl="1">
      <w:start w:val="1"/>
      <w:numFmt w:val="decimal"/>
      <w:lvlText w:val="2.%2."/>
      <w:lvlJc w:val="left"/>
      <w:pPr>
        <w:ind w:left="736" w:hanging="168"/>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709359A"/>
    <w:multiLevelType w:val="hybridMultilevel"/>
    <w:tmpl w:val="0AE4085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271505C6"/>
    <w:multiLevelType w:val="hybridMultilevel"/>
    <w:tmpl w:val="58B23E52"/>
    <w:lvl w:ilvl="0" w:tplc="1C3C7794">
      <w:start w:val="1"/>
      <w:numFmt w:val="bullet"/>
      <w:lvlText w:val=""/>
      <w:lvlJc w:val="left"/>
      <w:pPr>
        <w:tabs>
          <w:tab w:val="num" w:pos="720"/>
        </w:tabs>
        <w:ind w:left="720" w:hanging="360"/>
      </w:pPr>
      <w:rPr>
        <w:rFonts w:ascii="Symbol" w:hAnsi="Symbol" w:hint="default"/>
        <w:color w:val="auto"/>
      </w:rPr>
    </w:lvl>
    <w:lvl w:ilvl="1" w:tplc="DBA4B188">
      <w:start w:val="1"/>
      <w:numFmt w:val="bullet"/>
      <w:lvlText w:val=""/>
      <w:lvlJc w:val="left"/>
      <w:pPr>
        <w:tabs>
          <w:tab w:val="num" w:pos="1440"/>
        </w:tabs>
        <w:ind w:left="1440" w:hanging="360"/>
      </w:pPr>
      <w:rPr>
        <w:rFonts w:ascii="Wingdings" w:hAnsi="Wingdings" w:hint="default"/>
      </w:rPr>
    </w:lvl>
    <w:lvl w:ilvl="2" w:tplc="605ABF7A">
      <w:start w:val="1"/>
      <w:numFmt w:val="bullet"/>
      <w:lvlText w:val=""/>
      <w:lvlJc w:val="left"/>
      <w:pPr>
        <w:tabs>
          <w:tab w:val="num" w:pos="2160"/>
        </w:tabs>
        <w:ind w:left="2160" w:hanging="360"/>
      </w:pPr>
      <w:rPr>
        <w:rFonts w:ascii="Wingdings" w:hAnsi="Wingdings" w:hint="default"/>
      </w:rPr>
    </w:lvl>
    <w:lvl w:ilvl="3" w:tplc="381CD8DC" w:tentative="1">
      <w:start w:val="1"/>
      <w:numFmt w:val="bullet"/>
      <w:lvlText w:val=""/>
      <w:lvlJc w:val="left"/>
      <w:pPr>
        <w:tabs>
          <w:tab w:val="num" w:pos="2880"/>
        </w:tabs>
        <w:ind w:left="2880" w:hanging="360"/>
      </w:pPr>
      <w:rPr>
        <w:rFonts w:ascii="Wingdings" w:hAnsi="Wingdings" w:hint="default"/>
      </w:rPr>
    </w:lvl>
    <w:lvl w:ilvl="4" w:tplc="FF724FDC" w:tentative="1">
      <w:start w:val="1"/>
      <w:numFmt w:val="bullet"/>
      <w:lvlText w:val=""/>
      <w:lvlJc w:val="left"/>
      <w:pPr>
        <w:tabs>
          <w:tab w:val="num" w:pos="3600"/>
        </w:tabs>
        <w:ind w:left="3600" w:hanging="360"/>
      </w:pPr>
      <w:rPr>
        <w:rFonts w:ascii="Wingdings" w:hAnsi="Wingdings" w:hint="default"/>
      </w:rPr>
    </w:lvl>
    <w:lvl w:ilvl="5" w:tplc="3B9E862A" w:tentative="1">
      <w:start w:val="1"/>
      <w:numFmt w:val="bullet"/>
      <w:lvlText w:val=""/>
      <w:lvlJc w:val="left"/>
      <w:pPr>
        <w:tabs>
          <w:tab w:val="num" w:pos="4320"/>
        </w:tabs>
        <w:ind w:left="4320" w:hanging="360"/>
      </w:pPr>
      <w:rPr>
        <w:rFonts w:ascii="Wingdings" w:hAnsi="Wingdings" w:hint="default"/>
      </w:rPr>
    </w:lvl>
    <w:lvl w:ilvl="6" w:tplc="93C46D3C" w:tentative="1">
      <w:start w:val="1"/>
      <w:numFmt w:val="bullet"/>
      <w:lvlText w:val=""/>
      <w:lvlJc w:val="left"/>
      <w:pPr>
        <w:tabs>
          <w:tab w:val="num" w:pos="5040"/>
        </w:tabs>
        <w:ind w:left="5040" w:hanging="360"/>
      </w:pPr>
      <w:rPr>
        <w:rFonts w:ascii="Wingdings" w:hAnsi="Wingdings" w:hint="default"/>
      </w:rPr>
    </w:lvl>
    <w:lvl w:ilvl="7" w:tplc="0C9E7C44" w:tentative="1">
      <w:start w:val="1"/>
      <w:numFmt w:val="bullet"/>
      <w:lvlText w:val=""/>
      <w:lvlJc w:val="left"/>
      <w:pPr>
        <w:tabs>
          <w:tab w:val="num" w:pos="5760"/>
        </w:tabs>
        <w:ind w:left="5760" w:hanging="360"/>
      </w:pPr>
      <w:rPr>
        <w:rFonts w:ascii="Wingdings" w:hAnsi="Wingdings" w:hint="default"/>
      </w:rPr>
    </w:lvl>
    <w:lvl w:ilvl="8" w:tplc="C1AA4D24" w:tentative="1">
      <w:start w:val="1"/>
      <w:numFmt w:val="bullet"/>
      <w:lvlText w:val=""/>
      <w:lvlJc w:val="left"/>
      <w:pPr>
        <w:tabs>
          <w:tab w:val="num" w:pos="6480"/>
        </w:tabs>
        <w:ind w:left="6480" w:hanging="360"/>
      </w:pPr>
      <w:rPr>
        <w:rFonts w:ascii="Wingdings" w:hAnsi="Wingdings" w:hint="default"/>
      </w:rPr>
    </w:lvl>
  </w:abstractNum>
  <w:abstractNum w:abstractNumId="13">
    <w:nsid w:val="2CCF30A0"/>
    <w:multiLevelType w:val="multilevel"/>
    <w:tmpl w:val="6986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CE03D5D"/>
    <w:multiLevelType w:val="hybridMultilevel"/>
    <w:tmpl w:val="B3B25872"/>
    <w:lvl w:ilvl="0" w:tplc="04020001">
      <w:start w:val="1"/>
      <w:numFmt w:val="bullet"/>
      <w:lvlText w:val=""/>
      <w:lvlJc w:val="left"/>
      <w:pPr>
        <w:ind w:left="900" w:hanging="360"/>
      </w:pPr>
      <w:rPr>
        <w:rFonts w:ascii="Symbol" w:hAnsi="Symbol" w:hint="default"/>
      </w:rPr>
    </w:lvl>
    <w:lvl w:ilvl="1" w:tplc="04020003" w:tentative="1">
      <w:start w:val="1"/>
      <w:numFmt w:val="bullet"/>
      <w:lvlText w:val="o"/>
      <w:lvlJc w:val="left"/>
      <w:pPr>
        <w:ind w:left="1620" w:hanging="360"/>
      </w:pPr>
      <w:rPr>
        <w:rFonts w:ascii="Courier New" w:hAnsi="Courier New" w:cs="Courier New" w:hint="default"/>
      </w:rPr>
    </w:lvl>
    <w:lvl w:ilvl="2" w:tplc="04020005" w:tentative="1">
      <w:start w:val="1"/>
      <w:numFmt w:val="bullet"/>
      <w:lvlText w:val=""/>
      <w:lvlJc w:val="left"/>
      <w:pPr>
        <w:ind w:left="2340" w:hanging="360"/>
      </w:pPr>
      <w:rPr>
        <w:rFonts w:ascii="Wingdings" w:hAnsi="Wingdings" w:hint="default"/>
      </w:rPr>
    </w:lvl>
    <w:lvl w:ilvl="3" w:tplc="04020001" w:tentative="1">
      <w:start w:val="1"/>
      <w:numFmt w:val="bullet"/>
      <w:lvlText w:val=""/>
      <w:lvlJc w:val="left"/>
      <w:pPr>
        <w:ind w:left="3060" w:hanging="360"/>
      </w:pPr>
      <w:rPr>
        <w:rFonts w:ascii="Symbol" w:hAnsi="Symbol" w:hint="default"/>
      </w:rPr>
    </w:lvl>
    <w:lvl w:ilvl="4" w:tplc="04020003" w:tentative="1">
      <w:start w:val="1"/>
      <w:numFmt w:val="bullet"/>
      <w:lvlText w:val="o"/>
      <w:lvlJc w:val="left"/>
      <w:pPr>
        <w:ind w:left="3780" w:hanging="360"/>
      </w:pPr>
      <w:rPr>
        <w:rFonts w:ascii="Courier New" w:hAnsi="Courier New" w:cs="Courier New" w:hint="default"/>
      </w:rPr>
    </w:lvl>
    <w:lvl w:ilvl="5" w:tplc="04020005" w:tentative="1">
      <w:start w:val="1"/>
      <w:numFmt w:val="bullet"/>
      <w:lvlText w:val=""/>
      <w:lvlJc w:val="left"/>
      <w:pPr>
        <w:ind w:left="4500" w:hanging="360"/>
      </w:pPr>
      <w:rPr>
        <w:rFonts w:ascii="Wingdings" w:hAnsi="Wingdings" w:hint="default"/>
      </w:rPr>
    </w:lvl>
    <w:lvl w:ilvl="6" w:tplc="04020001" w:tentative="1">
      <w:start w:val="1"/>
      <w:numFmt w:val="bullet"/>
      <w:lvlText w:val=""/>
      <w:lvlJc w:val="left"/>
      <w:pPr>
        <w:ind w:left="5220" w:hanging="360"/>
      </w:pPr>
      <w:rPr>
        <w:rFonts w:ascii="Symbol" w:hAnsi="Symbol" w:hint="default"/>
      </w:rPr>
    </w:lvl>
    <w:lvl w:ilvl="7" w:tplc="04020003" w:tentative="1">
      <w:start w:val="1"/>
      <w:numFmt w:val="bullet"/>
      <w:lvlText w:val="o"/>
      <w:lvlJc w:val="left"/>
      <w:pPr>
        <w:ind w:left="5940" w:hanging="360"/>
      </w:pPr>
      <w:rPr>
        <w:rFonts w:ascii="Courier New" w:hAnsi="Courier New" w:cs="Courier New" w:hint="default"/>
      </w:rPr>
    </w:lvl>
    <w:lvl w:ilvl="8" w:tplc="04020005" w:tentative="1">
      <w:start w:val="1"/>
      <w:numFmt w:val="bullet"/>
      <w:lvlText w:val=""/>
      <w:lvlJc w:val="left"/>
      <w:pPr>
        <w:ind w:left="6660" w:hanging="360"/>
      </w:pPr>
      <w:rPr>
        <w:rFonts w:ascii="Wingdings" w:hAnsi="Wingdings" w:hint="default"/>
      </w:rPr>
    </w:lvl>
  </w:abstractNum>
  <w:abstractNum w:abstractNumId="15">
    <w:nsid w:val="32DB48BD"/>
    <w:multiLevelType w:val="multilevel"/>
    <w:tmpl w:val="CF4C2274"/>
    <w:lvl w:ilvl="0">
      <w:start w:val="1"/>
      <w:numFmt w:val="decimal"/>
      <w:lvlText w:val="%1."/>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49E604F"/>
    <w:multiLevelType w:val="hybridMultilevel"/>
    <w:tmpl w:val="21C8588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37015787"/>
    <w:multiLevelType w:val="multilevel"/>
    <w:tmpl w:val="E304A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3.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428C4004"/>
    <w:multiLevelType w:val="hybridMultilevel"/>
    <w:tmpl w:val="2572D8F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441528EC"/>
    <w:multiLevelType w:val="hybridMultilevel"/>
    <w:tmpl w:val="2F1A4B7C"/>
    <w:lvl w:ilvl="0" w:tplc="91DE8638">
      <w:numFmt w:val="bullet"/>
      <w:lvlText w:val="•"/>
      <w:lvlJc w:val="left"/>
      <w:pPr>
        <w:ind w:left="1430" w:hanging="710"/>
      </w:pPr>
      <w:rPr>
        <w:rFonts w:ascii="Calibri" w:eastAsia="Times New Roman" w:hAnsi="Calibri" w:cs="Calibri"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0">
    <w:nsid w:val="45D82E51"/>
    <w:multiLevelType w:val="hybridMultilevel"/>
    <w:tmpl w:val="37C035B2"/>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46BD7AE3"/>
    <w:multiLevelType w:val="multilevel"/>
    <w:tmpl w:val="1B40C8EC"/>
    <w:lvl w:ilvl="0">
      <w:start w:val="1"/>
      <w:numFmt w:val="decimal"/>
      <w:lvlText w:val="%1."/>
      <w:lvlJc w:val="left"/>
      <w:pPr>
        <w:ind w:left="360" w:hanging="360"/>
      </w:pPr>
      <w:rPr>
        <w:rFonts w:hint="default"/>
      </w:rPr>
    </w:lvl>
    <w:lvl w:ilvl="1">
      <w:start w:val="1"/>
      <w:numFmt w:val="decimal"/>
      <w:lvlText w:val="3.%2."/>
      <w:lvlJc w:val="left"/>
      <w:pPr>
        <w:ind w:left="792" w:hanging="168"/>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7984A2D"/>
    <w:multiLevelType w:val="hybridMultilevel"/>
    <w:tmpl w:val="C58639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4C330334"/>
    <w:multiLevelType w:val="hybridMultilevel"/>
    <w:tmpl w:val="350C6C8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4CF93CEB"/>
    <w:multiLevelType w:val="hybridMultilevel"/>
    <w:tmpl w:val="9022DE2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54795B3A"/>
    <w:multiLevelType w:val="hybridMultilevel"/>
    <w:tmpl w:val="0608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6ED012E"/>
    <w:multiLevelType w:val="hybridMultilevel"/>
    <w:tmpl w:val="7DE2A9B8"/>
    <w:lvl w:ilvl="0" w:tplc="91DE8638">
      <w:numFmt w:val="bullet"/>
      <w:lvlText w:val="•"/>
      <w:lvlJc w:val="left"/>
      <w:pPr>
        <w:ind w:left="710" w:hanging="710"/>
      </w:pPr>
      <w:rPr>
        <w:rFonts w:ascii="Calibri" w:eastAsia="Times New Roman" w:hAnsi="Calibri" w:cs="Calibri" w:hint="default"/>
      </w:rPr>
    </w:lvl>
    <w:lvl w:ilvl="1" w:tplc="04020003">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7">
    <w:nsid w:val="5DF540F2"/>
    <w:multiLevelType w:val="hybridMultilevel"/>
    <w:tmpl w:val="67EC562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5EED6942"/>
    <w:multiLevelType w:val="hybridMultilevel"/>
    <w:tmpl w:val="9940C6E4"/>
    <w:lvl w:ilvl="0" w:tplc="0409000F">
      <w:start w:val="1"/>
      <w:numFmt w:val="decimal"/>
      <w:lvlText w:val="%1."/>
      <w:lvlJc w:val="left"/>
      <w:pPr>
        <w:ind w:left="3048" w:hanging="360"/>
      </w:pPr>
    </w:lvl>
    <w:lvl w:ilvl="1" w:tplc="04090019" w:tentative="1">
      <w:start w:val="1"/>
      <w:numFmt w:val="lowerLetter"/>
      <w:lvlText w:val="%2."/>
      <w:lvlJc w:val="left"/>
      <w:pPr>
        <w:ind w:left="3768" w:hanging="360"/>
      </w:pPr>
    </w:lvl>
    <w:lvl w:ilvl="2" w:tplc="0409001B" w:tentative="1">
      <w:start w:val="1"/>
      <w:numFmt w:val="lowerRoman"/>
      <w:lvlText w:val="%3."/>
      <w:lvlJc w:val="right"/>
      <w:pPr>
        <w:ind w:left="4488" w:hanging="180"/>
      </w:pPr>
    </w:lvl>
    <w:lvl w:ilvl="3" w:tplc="0409000F" w:tentative="1">
      <w:start w:val="1"/>
      <w:numFmt w:val="decimal"/>
      <w:lvlText w:val="%4."/>
      <w:lvlJc w:val="left"/>
      <w:pPr>
        <w:ind w:left="5208" w:hanging="360"/>
      </w:pPr>
    </w:lvl>
    <w:lvl w:ilvl="4" w:tplc="04090019" w:tentative="1">
      <w:start w:val="1"/>
      <w:numFmt w:val="lowerLetter"/>
      <w:lvlText w:val="%5."/>
      <w:lvlJc w:val="left"/>
      <w:pPr>
        <w:ind w:left="5928" w:hanging="360"/>
      </w:pPr>
    </w:lvl>
    <w:lvl w:ilvl="5" w:tplc="0409001B" w:tentative="1">
      <w:start w:val="1"/>
      <w:numFmt w:val="lowerRoman"/>
      <w:lvlText w:val="%6."/>
      <w:lvlJc w:val="right"/>
      <w:pPr>
        <w:ind w:left="6648" w:hanging="180"/>
      </w:pPr>
    </w:lvl>
    <w:lvl w:ilvl="6" w:tplc="0409000F" w:tentative="1">
      <w:start w:val="1"/>
      <w:numFmt w:val="decimal"/>
      <w:lvlText w:val="%7."/>
      <w:lvlJc w:val="left"/>
      <w:pPr>
        <w:ind w:left="7368" w:hanging="360"/>
      </w:pPr>
    </w:lvl>
    <w:lvl w:ilvl="7" w:tplc="04090019" w:tentative="1">
      <w:start w:val="1"/>
      <w:numFmt w:val="lowerLetter"/>
      <w:lvlText w:val="%8."/>
      <w:lvlJc w:val="left"/>
      <w:pPr>
        <w:ind w:left="8088" w:hanging="360"/>
      </w:pPr>
    </w:lvl>
    <w:lvl w:ilvl="8" w:tplc="0409001B" w:tentative="1">
      <w:start w:val="1"/>
      <w:numFmt w:val="lowerRoman"/>
      <w:lvlText w:val="%9."/>
      <w:lvlJc w:val="right"/>
      <w:pPr>
        <w:ind w:left="8808" w:hanging="180"/>
      </w:pPr>
    </w:lvl>
  </w:abstractNum>
  <w:abstractNum w:abstractNumId="29">
    <w:nsid w:val="5F5476E0"/>
    <w:multiLevelType w:val="multilevel"/>
    <w:tmpl w:val="E304A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3.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636432F8"/>
    <w:multiLevelType w:val="hybridMultilevel"/>
    <w:tmpl w:val="79B23E02"/>
    <w:lvl w:ilvl="0" w:tplc="04020001">
      <w:start w:val="1"/>
      <w:numFmt w:val="bullet"/>
      <w:lvlText w:val=""/>
      <w:lvlJc w:val="left"/>
      <w:pPr>
        <w:tabs>
          <w:tab w:val="num" w:pos="720"/>
        </w:tabs>
        <w:ind w:left="720" w:hanging="360"/>
      </w:pPr>
      <w:rPr>
        <w:rFonts w:ascii="Symbol" w:hAnsi="Symbol" w:hint="default"/>
        <w:color w:val="auto"/>
      </w:rPr>
    </w:lvl>
    <w:lvl w:ilvl="1" w:tplc="0B96B5B6">
      <w:start w:val="2707"/>
      <w:numFmt w:val="bullet"/>
      <w:lvlText w:val="–"/>
      <w:lvlJc w:val="left"/>
      <w:pPr>
        <w:tabs>
          <w:tab w:val="num" w:pos="1440"/>
        </w:tabs>
        <w:ind w:left="1440" w:hanging="360"/>
      </w:pPr>
      <w:rPr>
        <w:rFonts w:ascii="Times New Roman" w:hAnsi="Times New Roman" w:hint="default"/>
      </w:rPr>
    </w:lvl>
    <w:lvl w:ilvl="2" w:tplc="796824F6" w:tentative="1">
      <w:start w:val="1"/>
      <w:numFmt w:val="bullet"/>
      <w:lvlText w:val=""/>
      <w:lvlJc w:val="left"/>
      <w:pPr>
        <w:tabs>
          <w:tab w:val="num" w:pos="2160"/>
        </w:tabs>
        <w:ind w:left="2160" w:hanging="360"/>
      </w:pPr>
      <w:rPr>
        <w:rFonts w:ascii="Wingdings" w:hAnsi="Wingdings" w:hint="default"/>
      </w:rPr>
    </w:lvl>
    <w:lvl w:ilvl="3" w:tplc="4794865C" w:tentative="1">
      <w:start w:val="1"/>
      <w:numFmt w:val="bullet"/>
      <w:lvlText w:val=""/>
      <w:lvlJc w:val="left"/>
      <w:pPr>
        <w:tabs>
          <w:tab w:val="num" w:pos="2880"/>
        </w:tabs>
        <w:ind w:left="2880" w:hanging="360"/>
      </w:pPr>
      <w:rPr>
        <w:rFonts w:ascii="Wingdings" w:hAnsi="Wingdings" w:hint="default"/>
      </w:rPr>
    </w:lvl>
    <w:lvl w:ilvl="4" w:tplc="E19A5546" w:tentative="1">
      <w:start w:val="1"/>
      <w:numFmt w:val="bullet"/>
      <w:lvlText w:val=""/>
      <w:lvlJc w:val="left"/>
      <w:pPr>
        <w:tabs>
          <w:tab w:val="num" w:pos="3600"/>
        </w:tabs>
        <w:ind w:left="3600" w:hanging="360"/>
      </w:pPr>
      <w:rPr>
        <w:rFonts w:ascii="Wingdings" w:hAnsi="Wingdings" w:hint="default"/>
      </w:rPr>
    </w:lvl>
    <w:lvl w:ilvl="5" w:tplc="E0BAD62C" w:tentative="1">
      <w:start w:val="1"/>
      <w:numFmt w:val="bullet"/>
      <w:lvlText w:val=""/>
      <w:lvlJc w:val="left"/>
      <w:pPr>
        <w:tabs>
          <w:tab w:val="num" w:pos="4320"/>
        </w:tabs>
        <w:ind w:left="4320" w:hanging="360"/>
      </w:pPr>
      <w:rPr>
        <w:rFonts w:ascii="Wingdings" w:hAnsi="Wingdings" w:hint="default"/>
      </w:rPr>
    </w:lvl>
    <w:lvl w:ilvl="6" w:tplc="DD603B5A" w:tentative="1">
      <w:start w:val="1"/>
      <w:numFmt w:val="bullet"/>
      <w:lvlText w:val=""/>
      <w:lvlJc w:val="left"/>
      <w:pPr>
        <w:tabs>
          <w:tab w:val="num" w:pos="5040"/>
        </w:tabs>
        <w:ind w:left="5040" w:hanging="360"/>
      </w:pPr>
      <w:rPr>
        <w:rFonts w:ascii="Wingdings" w:hAnsi="Wingdings" w:hint="default"/>
      </w:rPr>
    </w:lvl>
    <w:lvl w:ilvl="7" w:tplc="5176842C" w:tentative="1">
      <w:start w:val="1"/>
      <w:numFmt w:val="bullet"/>
      <w:lvlText w:val=""/>
      <w:lvlJc w:val="left"/>
      <w:pPr>
        <w:tabs>
          <w:tab w:val="num" w:pos="5760"/>
        </w:tabs>
        <w:ind w:left="5760" w:hanging="360"/>
      </w:pPr>
      <w:rPr>
        <w:rFonts w:ascii="Wingdings" w:hAnsi="Wingdings" w:hint="default"/>
      </w:rPr>
    </w:lvl>
    <w:lvl w:ilvl="8" w:tplc="1D12BA26" w:tentative="1">
      <w:start w:val="1"/>
      <w:numFmt w:val="bullet"/>
      <w:lvlText w:val=""/>
      <w:lvlJc w:val="left"/>
      <w:pPr>
        <w:tabs>
          <w:tab w:val="num" w:pos="6480"/>
        </w:tabs>
        <w:ind w:left="6480" w:hanging="360"/>
      </w:pPr>
      <w:rPr>
        <w:rFonts w:ascii="Wingdings" w:hAnsi="Wingdings" w:hint="default"/>
      </w:rPr>
    </w:lvl>
  </w:abstractNum>
  <w:abstractNum w:abstractNumId="31">
    <w:nsid w:val="637E27EB"/>
    <w:multiLevelType w:val="hybridMultilevel"/>
    <w:tmpl w:val="A86A5AF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nsid w:val="65733E14"/>
    <w:multiLevelType w:val="hybridMultilevel"/>
    <w:tmpl w:val="8656F14A"/>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3">
    <w:nsid w:val="6B572C94"/>
    <w:multiLevelType w:val="multilevel"/>
    <w:tmpl w:val="B1824C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78EF345A"/>
    <w:multiLevelType w:val="hybridMultilevel"/>
    <w:tmpl w:val="272647C6"/>
    <w:lvl w:ilvl="0" w:tplc="91DE8638">
      <w:numFmt w:val="bullet"/>
      <w:lvlText w:val="•"/>
      <w:lvlJc w:val="left"/>
      <w:pPr>
        <w:ind w:left="720" w:hanging="360"/>
      </w:pPr>
      <w:rPr>
        <w:rFonts w:ascii="Calibri" w:eastAsia="Times New Roman"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33"/>
  </w:num>
  <w:num w:numId="2">
    <w:abstractNumId w:val="2"/>
  </w:num>
  <w:num w:numId="3">
    <w:abstractNumId w:val="1"/>
  </w:num>
  <w:num w:numId="4">
    <w:abstractNumId w:val="5"/>
  </w:num>
  <w:num w:numId="5">
    <w:abstractNumId w:val="7"/>
  </w:num>
  <w:num w:numId="6">
    <w:abstractNumId w:val="26"/>
  </w:num>
  <w:num w:numId="7">
    <w:abstractNumId w:val="19"/>
  </w:num>
  <w:num w:numId="8">
    <w:abstractNumId w:val="15"/>
  </w:num>
  <w:num w:numId="9">
    <w:abstractNumId w:val="9"/>
  </w:num>
  <w:num w:numId="10">
    <w:abstractNumId w:val="28"/>
  </w:num>
  <w:num w:numId="11">
    <w:abstractNumId w:val="30"/>
  </w:num>
  <w:num w:numId="12">
    <w:abstractNumId w:val="17"/>
  </w:num>
  <w:num w:numId="13">
    <w:abstractNumId w:val="12"/>
  </w:num>
  <w:num w:numId="14">
    <w:abstractNumId w:val="27"/>
  </w:num>
  <w:num w:numId="15">
    <w:abstractNumId w:val="22"/>
  </w:num>
  <w:num w:numId="16">
    <w:abstractNumId w:val="6"/>
  </w:num>
  <w:num w:numId="17">
    <w:abstractNumId w:val="11"/>
  </w:num>
  <w:num w:numId="18">
    <w:abstractNumId w:val="16"/>
  </w:num>
  <w:num w:numId="19">
    <w:abstractNumId w:val="32"/>
  </w:num>
  <w:num w:numId="20">
    <w:abstractNumId w:val="14"/>
  </w:num>
  <w:num w:numId="21">
    <w:abstractNumId w:val="10"/>
  </w:num>
  <w:num w:numId="22">
    <w:abstractNumId w:val="18"/>
  </w:num>
  <w:num w:numId="23">
    <w:abstractNumId w:val="21"/>
  </w:num>
  <w:num w:numId="24">
    <w:abstractNumId w:val="29"/>
  </w:num>
  <w:num w:numId="25">
    <w:abstractNumId w:val="23"/>
  </w:num>
  <w:num w:numId="26">
    <w:abstractNumId w:val="4"/>
  </w:num>
  <w:num w:numId="27">
    <w:abstractNumId w:val="8"/>
  </w:num>
  <w:num w:numId="28">
    <w:abstractNumId w:val="20"/>
  </w:num>
  <w:num w:numId="29">
    <w:abstractNumId w:val="13"/>
  </w:num>
  <w:num w:numId="30">
    <w:abstractNumId w:val="31"/>
  </w:num>
  <w:num w:numId="31">
    <w:abstractNumId w:val="34"/>
  </w:num>
  <w:num w:numId="32">
    <w:abstractNumId w:val="0"/>
  </w:num>
  <w:num w:numId="33">
    <w:abstractNumId w:val="3"/>
  </w:num>
  <w:num w:numId="34">
    <w:abstractNumId w:val="25"/>
  </w:num>
  <w:num w:numId="35">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70B"/>
    <w:rsid w:val="000027EE"/>
    <w:rsid w:val="000029B2"/>
    <w:rsid w:val="0000437F"/>
    <w:rsid w:val="000053C9"/>
    <w:rsid w:val="00005772"/>
    <w:rsid w:val="000065B8"/>
    <w:rsid w:val="00006893"/>
    <w:rsid w:val="00010412"/>
    <w:rsid w:val="000106DE"/>
    <w:rsid w:val="00010DC4"/>
    <w:rsid w:val="00014255"/>
    <w:rsid w:val="00014B48"/>
    <w:rsid w:val="000151CF"/>
    <w:rsid w:val="00020314"/>
    <w:rsid w:val="000209E4"/>
    <w:rsid w:val="00022B05"/>
    <w:rsid w:val="00036A91"/>
    <w:rsid w:val="00037755"/>
    <w:rsid w:val="00037C98"/>
    <w:rsid w:val="00042F89"/>
    <w:rsid w:val="0005568A"/>
    <w:rsid w:val="000576B9"/>
    <w:rsid w:val="00070B4B"/>
    <w:rsid w:val="00073791"/>
    <w:rsid w:val="00074165"/>
    <w:rsid w:val="00074BE9"/>
    <w:rsid w:val="00081C48"/>
    <w:rsid w:val="00083E07"/>
    <w:rsid w:val="00084689"/>
    <w:rsid w:val="000849FC"/>
    <w:rsid w:val="00086C4D"/>
    <w:rsid w:val="00092E37"/>
    <w:rsid w:val="000962E4"/>
    <w:rsid w:val="000A261C"/>
    <w:rsid w:val="000A43E9"/>
    <w:rsid w:val="000A609E"/>
    <w:rsid w:val="000B2433"/>
    <w:rsid w:val="000C483A"/>
    <w:rsid w:val="000C6B64"/>
    <w:rsid w:val="000C70DA"/>
    <w:rsid w:val="000D2A18"/>
    <w:rsid w:val="000D4D58"/>
    <w:rsid w:val="000D7559"/>
    <w:rsid w:val="000D7785"/>
    <w:rsid w:val="000E241C"/>
    <w:rsid w:val="000E5C79"/>
    <w:rsid w:val="000F35E2"/>
    <w:rsid w:val="001045DC"/>
    <w:rsid w:val="0010599E"/>
    <w:rsid w:val="00106056"/>
    <w:rsid w:val="00111EB8"/>
    <w:rsid w:val="00115CCE"/>
    <w:rsid w:val="00120AA6"/>
    <w:rsid w:val="0012265D"/>
    <w:rsid w:val="00124321"/>
    <w:rsid w:val="00131809"/>
    <w:rsid w:val="00142381"/>
    <w:rsid w:val="00142E8D"/>
    <w:rsid w:val="0015718B"/>
    <w:rsid w:val="00161CE2"/>
    <w:rsid w:val="00164781"/>
    <w:rsid w:val="001656BC"/>
    <w:rsid w:val="00166DF3"/>
    <w:rsid w:val="001723D1"/>
    <w:rsid w:val="00177A15"/>
    <w:rsid w:val="0018024A"/>
    <w:rsid w:val="00180DC3"/>
    <w:rsid w:val="00190657"/>
    <w:rsid w:val="00192B75"/>
    <w:rsid w:val="00192E81"/>
    <w:rsid w:val="00194246"/>
    <w:rsid w:val="001A018A"/>
    <w:rsid w:val="001A1D91"/>
    <w:rsid w:val="001A737C"/>
    <w:rsid w:val="001B2F27"/>
    <w:rsid w:val="001B6832"/>
    <w:rsid w:val="001B6DB9"/>
    <w:rsid w:val="001C4C5F"/>
    <w:rsid w:val="001C58FB"/>
    <w:rsid w:val="001C6D6A"/>
    <w:rsid w:val="001C72F7"/>
    <w:rsid w:val="001D138F"/>
    <w:rsid w:val="001D431C"/>
    <w:rsid w:val="001D563E"/>
    <w:rsid w:val="001E0CED"/>
    <w:rsid w:val="001E4730"/>
    <w:rsid w:val="001E4F84"/>
    <w:rsid w:val="001F39B8"/>
    <w:rsid w:val="001F52C8"/>
    <w:rsid w:val="002002AA"/>
    <w:rsid w:val="0020409F"/>
    <w:rsid w:val="00204E52"/>
    <w:rsid w:val="00207981"/>
    <w:rsid w:val="0021713E"/>
    <w:rsid w:val="00217F59"/>
    <w:rsid w:val="00223126"/>
    <w:rsid w:val="00225583"/>
    <w:rsid w:val="00232E2F"/>
    <w:rsid w:val="00233DB8"/>
    <w:rsid w:val="00234A93"/>
    <w:rsid w:val="00241CD5"/>
    <w:rsid w:val="00252AAD"/>
    <w:rsid w:val="002614A1"/>
    <w:rsid w:val="002614EC"/>
    <w:rsid w:val="00265F70"/>
    <w:rsid w:val="00267B90"/>
    <w:rsid w:val="0027653D"/>
    <w:rsid w:val="002779A0"/>
    <w:rsid w:val="00296C58"/>
    <w:rsid w:val="002A0227"/>
    <w:rsid w:val="002A0351"/>
    <w:rsid w:val="002A32DA"/>
    <w:rsid w:val="002B191D"/>
    <w:rsid w:val="002B4A5F"/>
    <w:rsid w:val="002C15D2"/>
    <w:rsid w:val="002C45EF"/>
    <w:rsid w:val="002C4616"/>
    <w:rsid w:val="002C6255"/>
    <w:rsid w:val="002D026C"/>
    <w:rsid w:val="002D066D"/>
    <w:rsid w:val="002D25C5"/>
    <w:rsid w:val="002D4565"/>
    <w:rsid w:val="002E32DB"/>
    <w:rsid w:val="002E7C81"/>
    <w:rsid w:val="002F0F96"/>
    <w:rsid w:val="002F2806"/>
    <w:rsid w:val="002F633F"/>
    <w:rsid w:val="002F65A3"/>
    <w:rsid w:val="002F7AFA"/>
    <w:rsid w:val="003033E1"/>
    <w:rsid w:val="0030352B"/>
    <w:rsid w:val="003040CA"/>
    <w:rsid w:val="0030509A"/>
    <w:rsid w:val="0031119C"/>
    <w:rsid w:val="0031656A"/>
    <w:rsid w:val="00322210"/>
    <w:rsid w:val="003234C3"/>
    <w:rsid w:val="00331B03"/>
    <w:rsid w:val="00335459"/>
    <w:rsid w:val="00345D92"/>
    <w:rsid w:val="0035296F"/>
    <w:rsid w:val="00357C25"/>
    <w:rsid w:val="00372A8B"/>
    <w:rsid w:val="003852F9"/>
    <w:rsid w:val="00392C29"/>
    <w:rsid w:val="00395C54"/>
    <w:rsid w:val="003A059D"/>
    <w:rsid w:val="003A0C18"/>
    <w:rsid w:val="003C18F1"/>
    <w:rsid w:val="003C1F96"/>
    <w:rsid w:val="003C6E08"/>
    <w:rsid w:val="003E1AFD"/>
    <w:rsid w:val="003E5AB1"/>
    <w:rsid w:val="003E5C09"/>
    <w:rsid w:val="003F0695"/>
    <w:rsid w:val="003F3375"/>
    <w:rsid w:val="004037CA"/>
    <w:rsid w:val="0041696F"/>
    <w:rsid w:val="00420E7E"/>
    <w:rsid w:val="0042145D"/>
    <w:rsid w:val="00423B01"/>
    <w:rsid w:val="00427DD3"/>
    <w:rsid w:val="00430C86"/>
    <w:rsid w:val="00431798"/>
    <w:rsid w:val="004333AB"/>
    <w:rsid w:val="004350F9"/>
    <w:rsid w:val="00444FDC"/>
    <w:rsid w:val="004451FA"/>
    <w:rsid w:val="004464CF"/>
    <w:rsid w:val="00447266"/>
    <w:rsid w:val="0045057D"/>
    <w:rsid w:val="00460899"/>
    <w:rsid w:val="00466381"/>
    <w:rsid w:val="0047122C"/>
    <w:rsid w:val="00475B62"/>
    <w:rsid w:val="00480CC2"/>
    <w:rsid w:val="0048187D"/>
    <w:rsid w:val="00483103"/>
    <w:rsid w:val="00485FFC"/>
    <w:rsid w:val="00486138"/>
    <w:rsid w:val="00496405"/>
    <w:rsid w:val="004A49C7"/>
    <w:rsid w:val="004A72B1"/>
    <w:rsid w:val="004B0536"/>
    <w:rsid w:val="004B3611"/>
    <w:rsid w:val="004B5CC4"/>
    <w:rsid w:val="004C2E10"/>
    <w:rsid w:val="004C2EC5"/>
    <w:rsid w:val="004C5A02"/>
    <w:rsid w:val="004D4B92"/>
    <w:rsid w:val="004E5E77"/>
    <w:rsid w:val="004E6ACB"/>
    <w:rsid w:val="004F20CA"/>
    <w:rsid w:val="004F2183"/>
    <w:rsid w:val="0050355C"/>
    <w:rsid w:val="005055E9"/>
    <w:rsid w:val="00505B2E"/>
    <w:rsid w:val="0051327A"/>
    <w:rsid w:val="00513E5F"/>
    <w:rsid w:val="0052035F"/>
    <w:rsid w:val="005205EA"/>
    <w:rsid w:val="00521AEA"/>
    <w:rsid w:val="00521F5C"/>
    <w:rsid w:val="00523B3B"/>
    <w:rsid w:val="00526A6C"/>
    <w:rsid w:val="00532395"/>
    <w:rsid w:val="00534E0A"/>
    <w:rsid w:val="005464FB"/>
    <w:rsid w:val="005500CE"/>
    <w:rsid w:val="00550FF1"/>
    <w:rsid w:val="0055690F"/>
    <w:rsid w:val="00561FAB"/>
    <w:rsid w:val="005640F3"/>
    <w:rsid w:val="00565971"/>
    <w:rsid w:val="0058037E"/>
    <w:rsid w:val="00580F80"/>
    <w:rsid w:val="00581728"/>
    <w:rsid w:val="005B5085"/>
    <w:rsid w:val="005C381D"/>
    <w:rsid w:val="005C63AA"/>
    <w:rsid w:val="005C710B"/>
    <w:rsid w:val="005D0BF5"/>
    <w:rsid w:val="005E2F18"/>
    <w:rsid w:val="005E6B82"/>
    <w:rsid w:val="005F0DB4"/>
    <w:rsid w:val="00601817"/>
    <w:rsid w:val="00603BB1"/>
    <w:rsid w:val="006064ED"/>
    <w:rsid w:val="00616129"/>
    <w:rsid w:val="00622087"/>
    <w:rsid w:val="00640C86"/>
    <w:rsid w:val="00641D24"/>
    <w:rsid w:val="00662251"/>
    <w:rsid w:val="00662373"/>
    <w:rsid w:val="0066667D"/>
    <w:rsid w:val="00667576"/>
    <w:rsid w:val="00671642"/>
    <w:rsid w:val="00672B84"/>
    <w:rsid w:val="00680135"/>
    <w:rsid w:val="00684C91"/>
    <w:rsid w:val="00686B74"/>
    <w:rsid w:val="00693E7B"/>
    <w:rsid w:val="00695609"/>
    <w:rsid w:val="006967F7"/>
    <w:rsid w:val="006A201F"/>
    <w:rsid w:val="006A73AB"/>
    <w:rsid w:val="006B3599"/>
    <w:rsid w:val="006C65A8"/>
    <w:rsid w:val="006D0BA5"/>
    <w:rsid w:val="006D142E"/>
    <w:rsid w:val="006D40A3"/>
    <w:rsid w:val="006E3830"/>
    <w:rsid w:val="006E7CAF"/>
    <w:rsid w:val="006F1746"/>
    <w:rsid w:val="006F793B"/>
    <w:rsid w:val="00700A46"/>
    <w:rsid w:val="00703098"/>
    <w:rsid w:val="0071789D"/>
    <w:rsid w:val="00723AC2"/>
    <w:rsid w:val="00723D96"/>
    <w:rsid w:val="0072586D"/>
    <w:rsid w:val="00727D76"/>
    <w:rsid w:val="00732CA1"/>
    <w:rsid w:val="00732DE0"/>
    <w:rsid w:val="007340A1"/>
    <w:rsid w:val="00734C70"/>
    <w:rsid w:val="0073651A"/>
    <w:rsid w:val="0073762C"/>
    <w:rsid w:val="00737EDE"/>
    <w:rsid w:val="0074118C"/>
    <w:rsid w:val="00750A7A"/>
    <w:rsid w:val="00751E76"/>
    <w:rsid w:val="00753A81"/>
    <w:rsid w:val="007543F0"/>
    <w:rsid w:val="0075497B"/>
    <w:rsid w:val="0075597B"/>
    <w:rsid w:val="00757E7C"/>
    <w:rsid w:val="00760652"/>
    <w:rsid w:val="00767DAB"/>
    <w:rsid w:val="00767FA8"/>
    <w:rsid w:val="00771653"/>
    <w:rsid w:val="00771B28"/>
    <w:rsid w:val="00777161"/>
    <w:rsid w:val="007809E8"/>
    <w:rsid w:val="007831EE"/>
    <w:rsid w:val="007834EF"/>
    <w:rsid w:val="0078538D"/>
    <w:rsid w:val="00785BFE"/>
    <w:rsid w:val="007937DD"/>
    <w:rsid w:val="00797B98"/>
    <w:rsid w:val="007A36F3"/>
    <w:rsid w:val="007B4060"/>
    <w:rsid w:val="007B63F6"/>
    <w:rsid w:val="007B7787"/>
    <w:rsid w:val="007D1312"/>
    <w:rsid w:val="007D34A2"/>
    <w:rsid w:val="007E6CE9"/>
    <w:rsid w:val="00806372"/>
    <w:rsid w:val="0081018B"/>
    <w:rsid w:val="008227B4"/>
    <w:rsid w:val="00827949"/>
    <w:rsid w:val="00840963"/>
    <w:rsid w:val="008430B0"/>
    <w:rsid w:val="008439EC"/>
    <w:rsid w:val="008500DD"/>
    <w:rsid w:val="00852839"/>
    <w:rsid w:val="00852DB4"/>
    <w:rsid w:val="00861D18"/>
    <w:rsid w:val="00864235"/>
    <w:rsid w:val="0086600A"/>
    <w:rsid w:val="00870084"/>
    <w:rsid w:val="00872A1D"/>
    <w:rsid w:val="00872B7E"/>
    <w:rsid w:val="00875C9C"/>
    <w:rsid w:val="0088240C"/>
    <w:rsid w:val="00891C43"/>
    <w:rsid w:val="0089539E"/>
    <w:rsid w:val="00896644"/>
    <w:rsid w:val="008A7852"/>
    <w:rsid w:val="008B0EF4"/>
    <w:rsid w:val="008B2E27"/>
    <w:rsid w:val="008B3667"/>
    <w:rsid w:val="008C2A1A"/>
    <w:rsid w:val="008D0C5F"/>
    <w:rsid w:val="008D17D7"/>
    <w:rsid w:val="008D42CC"/>
    <w:rsid w:val="008D624C"/>
    <w:rsid w:val="008E3805"/>
    <w:rsid w:val="008E4DD5"/>
    <w:rsid w:val="008F3489"/>
    <w:rsid w:val="008F5A76"/>
    <w:rsid w:val="008F6CEC"/>
    <w:rsid w:val="00902482"/>
    <w:rsid w:val="00903FE4"/>
    <w:rsid w:val="00914BB4"/>
    <w:rsid w:val="00917290"/>
    <w:rsid w:val="00921DDE"/>
    <w:rsid w:val="0092275E"/>
    <w:rsid w:val="009234A1"/>
    <w:rsid w:val="00925623"/>
    <w:rsid w:val="00925A07"/>
    <w:rsid w:val="00926BF0"/>
    <w:rsid w:val="009272F6"/>
    <w:rsid w:val="00931260"/>
    <w:rsid w:val="00934D84"/>
    <w:rsid w:val="00950BDF"/>
    <w:rsid w:val="00952DB2"/>
    <w:rsid w:val="0096387A"/>
    <w:rsid w:val="00965B20"/>
    <w:rsid w:val="00966837"/>
    <w:rsid w:val="00970A3B"/>
    <w:rsid w:val="009731D1"/>
    <w:rsid w:val="0097530B"/>
    <w:rsid w:val="00977075"/>
    <w:rsid w:val="009832CF"/>
    <w:rsid w:val="00985E78"/>
    <w:rsid w:val="0098623A"/>
    <w:rsid w:val="0099684F"/>
    <w:rsid w:val="00996887"/>
    <w:rsid w:val="00997946"/>
    <w:rsid w:val="009A0AC9"/>
    <w:rsid w:val="009A4678"/>
    <w:rsid w:val="009A7018"/>
    <w:rsid w:val="009B2B6B"/>
    <w:rsid w:val="009B34B7"/>
    <w:rsid w:val="009B777B"/>
    <w:rsid w:val="009C1452"/>
    <w:rsid w:val="009C27EE"/>
    <w:rsid w:val="009C3711"/>
    <w:rsid w:val="009C5C5F"/>
    <w:rsid w:val="009D0705"/>
    <w:rsid w:val="009D5684"/>
    <w:rsid w:val="009D6803"/>
    <w:rsid w:val="009D6C42"/>
    <w:rsid w:val="009E067D"/>
    <w:rsid w:val="009E0F6A"/>
    <w:rsid w:val="009E496C"/>
    <w:rsid w:val="009E5A3D"/>
    <w:rsid w:val="009F1CAF"/>
    <w:rsid w:val="00A014E5"/>
    <w:rsid w:val="00A01A4A"/>
    <w:rsid w:val="00A048E0"/>
    <w:rsid w:val="00A04BF1"/>
    <w:rsid w:val="00A06B6A"/>
    <w:rsid w:val="00A1514D"/>
    <w:rsid w:val="00A16FA9"/>
    <w:rsid w:val="00A24491"/>
    <w:rsid w:val="00A30DC3"/>
    <w:rsid w:val="00A45947"/>
    <w:rsid w:val="00A47EC2"/>
    <w:rsid w:val="00A534EE"/>
    <w:rsid w:val="00A5564E"/>
    <w:rsid w:val="00A61B47"/>
    <w:rsid w:val="00A625E7"/>
    <w:rsid w:val="00A6278E"/>
    <w:rsid w:val="00A73480"/>
    <w:rsid w:val="00A81BAE"/>
    <w:rsid w:val="00A9124D"/>
    <w:rsid w:val="00A93FC7"/>
    <w:rsid w:val="00A957B8"/>
    <w:rsid w:val="00A95843"/>
    <w:rsid w:val="00A9679C"/>
    <w:rsid w:val="00A977E1"/>
    <w:rsid w:val="00AA075B"/>
    <w:rsid w:val="00AA09F5"/>
    <w:rsid w:val="00AA20F0"/>
    <w:rsid w:val="00AA27FD"/>
    <w:rsid w:val="00AA2F02"/>
    <w:rsid w:val="00AA4CA8"/>
    <w:rsid w:val="00AB0E25"/>
    <w:rsid w:val="00AB3426"/>
    <w:rsid w:val="00AB41A4"/>
    <w:rsid w:val="00AB5845"/>
    <w:rsid w:val="00AB7469"/>
    <w:rsid w:val="00AB7DC8"/>
    <w:rsid w:val="00AC29FC"/>
    <w:rsid w:val="00AC7C3D"/>
    <w:rsid w:val="00AD2291"/>
    <w:rsid w:val="00AD7538"/>
    <w:rsid w:val="00AD7F45"/>
    <w:rsid w:val="00AE74AE"/>
    <w:rsid w:val="00AF298B"/>
    <w:rsid w:val="00AF2AEB"/>
    <w:rsid w:val="00AF670B"/>
    <w:rsid w:val="00B02279"/>
    <w:rsid w:val="00B04654"/>
    <w:rsid w:val="00B04A6C"/>
    <w:rsid w:val="00B06708"/>
    <w:rsid w:val="00B06ACA"/>
    <w:rsid w:val="00B10EB5"/>
    <w:rsid w:val="00B122A6"/>
    <w:rsid w:val="00B12E36"/>
    <w:rsid w:val="00B144E5"/>
    <w:rsid w:val="00B20FE4"/>
    <w:rsid w:val="00B21E59"/>
    <w:rsid w:val="00B2545B"/>
    <w:rsid w:val="00B26037"/>
    <w:rsid w:val="00B30F8A"/>
    <w:rsid w:val="00B40FA2"/>
    <w:rsid w:val="00B4395C"/>
    <w:rsid w:val="00B5150F"/>
    <w:rsid w:val="00B556B7"/>
    <w:rsid w:val="00B5630D"/>
    <w:rsid w:val="00B6317A"/>
    <w:rsid w:val="00B63AD4"/>
    <w:rsid w:val="00B64A1A"/>
    <w:rsid w:val="00B70A67"/>
    <w:rsid w:val="00B70A98"/>
    <w:rsid w:val="00B73CF9"/>
    <w:rsid w:val="00B750E9"/>
    <w:rsid w:val="00B82A9A"/>
    <w:rsid w:val="00B9201C"/>
    <w:rsid w:val="00B938CF"/>
    <w:rsid w:val="00B95617"/>
    <w:rsid w:val="00BA0B03"/>
    <w:rsid w:val="00BA387B"/>
    <w:rsid w:val="00BA5529"/>
    <w:rsid w:val="00BA738C"/>
    <w:rsid w:val="00BB02E6"/>
    <w:rsid w:val="00BB5523"/>
    <w:rsid w:val="00BC1970"/>
    <w:rsid w:val="00BC569C"/>
    <w:rsid w:val="00BC6833"/>
    <w:rsid w:val="00BD28B5"/>
    <w:rsid w:val="00BE00D9"/>
    <w:rsid w:val="00BE2C9A"/>
    <w:rsid w:val="00BE73EB"/>
    <w:rsid w:val="00BF6BE7"/>
    <w:rsid w:val="00C126EA"/>
    <w:rsid w:val="00C1407D"/>
    <w:rsid w:val="00C2225C"/>
    <w:rsid w:val="00C30DEA"/>
    <w:rsid w:val="00C36568"/>
    <w:rsid w:val="00C4220F"/>
    <w:rsid w:val="00C42FDD"/>
    <w:rsid w:val="00C4415F"/>
    <w:rsid w:val="00C46823"/>
    <w:rsid w:val="00C5267F"/>
    <w:rsid w:val="00C57D20"/>
    <w:rsid w:val="00C63D37"/>
    <w:rsid w:val="00C67275"/>
    <w:rsid w:val="00C73CD5"/>
    <w:rsid w:val="00C74657"/>
    <w:rsid w:val="00C7528A"/>
    <w:rsid w:val="00C76219"/>
    <w:rsid w:val="00C76E04"/>
    <w:rsid w:val="00C820C2"/>
    <w:rsid w:val="00C8455D"/>
    <w:rsid w:val="00C8487E"/>
    <w:rsid w:val="00C8711D"/>
    <w:rsid w:val="00CA023F"/>
    <w:rsid w:val="00CA3ABC"/>
    <w:rsid w:val="00CA6AE8"/>
    <w:rsid w:val="00CA72BB"/>
    <w:rsid w:val="00CB6CCC"/>
    <w:rsid w:val="00CC0864"/>
    <w:rsid w:val="00CC323F"/>
    <w:rsid w:val="00CD0E73"/>
    <w:rsid w:val="00CD119E"/>
    <w:rsid w:val="00CD69C1"/>
    <w:rsid w:val="00CF4688"/>
    <w:rsid w:val="00CF70D8"/>
    <w:rsid w:val="00D04448"/>
    <w:rsid w:val="00D07BC6"/>
    <w:rsid w:val="00D108DB"/>
    <w:rsid w:val="00D17D39"/>
    <w:rsid w:val="00D21643"/>
    <w:rsid w:val="00D25D48"/>
    <w:rsid w:val="00D3187A"/>
    <w:rsid w:val="00D36B0F"/>
    <w:rsid w:val="00D44B59"/>
    <w:rsid w:val="00D451AF"/>
    <w:rsid w:val="00D50303"/>
    <w:rsid w:val="00D51BB1"/>
    <w:rsid w:val="00D51D37"/>
    <w:rsid w:val="00D5298D"/>
    <w:rsid w:val="00D535E5"/>
    <w:rsid w:val="00D53841"/>
    <w:rsid w:val="00D56252"/>
    <w:rsid w:val="00D61484"/>
    <w:rsid w:val="00D6256E"/>
    <w:rsid w:val="00D629E6"/>
    <w:rsid w:val="00D810F8"/>
    <w:rsid w:val="00D81934"/>
    <w:rsid w:val="00D83440"/>
    <w:rsid w:val="00D84DB8"/>
    <w:rsid w:val="00D87BD2"/>
    <w:rsid w:val="00DA2A9C"/>
    <w:rsid w:val="00DA472F"/>
    <w:rsid w:val="00DB0B06"/>
    <w:rsid w:val="00DB1A1E"/>
    <w:rsid w:val="00DC201D"/>
    <w:rsid w:val="00DC3234"/>
    <w:rsid w:val="00DC4051"/>
    <w:rsid w:val="00DD0DF6"/>
    <w:rsid w:val="00DE2135"/>
    <w:rsid w:val="00DE292C"/>
    <w:rsid w:val="00DE510A"/>
    <w:rsid w:val="00DE65CF"/>
    <w:rsid w:val="00DE7973"/>
    <w:rsid w:val="00DF42C8"/>
    <w:rsid w:val="00DF4A79"/>
    <w:rsid w:val="00E03239"/>
    <w:rsid w:val="00E041DD"/>
    <w:rsid w:val="00E070D9"/>
    <w:rsid w:val="00E0790B"/>
    <w:rsid w:val="00E10447"/>
    <w:rsid w:val="00E1119B"/>
    <w:rsid w:val="00E17C23"/>
    <w:rsid w:val="00E2036B"/>
    <w:rsid w:val="00E20A8E"/>
    <w:rsid w:val="00E24B56"/>
    <w:rsid w:val="00E25329"/>
    <w:rsid w:val="00E304EC"/>
    <w:rsid w:val="00E30BC0"/>
    <w:rsid w:val="00E32DE0"/>
    <w:rsid w:val="00E35D47"/>
    <w:rsid w:val="00E3646D"/>
    <w:rsid w:val="00E36EC7"/>
    <w:rsid w:val="00E44C19"/>
    <w:rsid w:val="00E56A74"/>
    <w:rsid w:val="00E630DC"/>
    <w:rsid w:val="00E657AB"/>
    <w:rsid w:val="00E6666C"/>
    <w:rsid w:val="00E71EA7"/>
    <w:rsid w:val="00E74384"/>
    <w:rsid w:val="00E76951"/>
    <w:rsid w:val="00EA0013"/>
    <w:rsid w:val="00EA12C7"/>
    <w:rsid w:val="00EA6281"/>
    <w:rsid w:val="00EB24DA"/>
    <w:rsid w:val="00EB2A72"/>
    <w:rsid w:val="00EB3577"/>
    <w:rsid w:val="00EB438A"/>
    <w:rsid w:val="00EB6E16"/>
    <w:rsid w:val="00EC5CDE"/>
    <w:rsid w:val="00EE23EE"/>
    <w:rsid w:val="00EE2553"/>
    <w:rsid w:val="00EF5C26"/>
    <w:rsid w:val="00EF6FC4"/>
    <w:rsid w:val="00F02A2C"/>
    <w:rsid w:val="00F179AF"/>
    <w:rsid w:val="00F249F8"/>
    <w:rsid w:val="00F2688F"/>
    <w:rsid w:val="00F32BC7"/>
    <w:rsid w:val="00F3325A"/>
    <w:rsid w:val="00F34DB4"/>
    <w:rsid w:val="00F448BC"/>
    <w:rsid w:val="00F44EBF"/>
    <w:rsid w:val="00F45236"/>
    <w:rsid w:val="00F46156"/>
    <w:rsid w:val="00F53A37"/>
    <w:rsid w:val="00F625BE"/>
    <w:rsid w:val="00F62BF3"/>
    <w:rsid w:val="00F67558"/>
    <w:rsid w:val="00F70602"/>
    <w:rsid w:val="00F713B3"/>
    <w:rsid w:val="00F71484"/>
    <w:rsid w:val="00F73CB1"/>
    <w:rsid w:val="00F74704"/>
    <w:rsid w:val="00F74E5B"/>
    <w:rsid w:val="00F770A6"/>
    <w:rsid w:val="00F77D60"/>
    <w:rsid w:val="00F80908"/>
    <w:rsid w:val="00F8466D"/>
    <w:rsid w:val="00F87349"/>
    <w:rsid w:val="00F91D8C"/>
    <w:rsid w:val="00F9328A"/>
    <w:rsid w:val="00F9424A"/>
    <w:rsid w:val="00F94EB7"/>
    <w:rsid w:val="00F968DC"/>
    <w:rsid w:val="00FA1F4B"/>
    <w:rsid w:val="00FA4319"/>
    <w:rsid w:val="00FA46FE"/>
    <w:rsid w:val="00FA6894"/>
    <w:rsid w:val="00FA7AF8"/>
    <w:rsid w:val="00FB17F2"/>
    <w:rsid w:val="00FB1E5C"/>
    <w:rsid w:val="00FB32BD"/>
    <w:rsid w:val="00FB3AAB"/>
    <w:rsid w:val="00FB41E7"/>
    <w:rsid w:val="00FC0793"/>
    <w:rsid w:val="00FC0C26"/>
    <w:rsid w:val="00FC129B"/>
    <w:rsid w:val="00FC6943"/>
    <w:rsid w:val="00FC7C81"/>
    <w:rsid w:val="00FE171E"/>
    <w:rsid w:val="00FE501E"/>
    <w:rsid w:val="00FE603B"/>
    <w:rsid w:val="00FF05E7"/>
    <w:rsid w:val="00FF0B14"/>
    <w:rsid w:val="00FF2DFC"/>
    <w:rsid w:val="00FF3964"/>
    <w:rsid w:val="00FF6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E501E"/>
    <w:pPr>
      <w:keepNext/>
      <w:spacing w:before="240" w:after="240" w:line="240" w:lineRule="auto"/>
      <w:outlineLvl w:val="0"/>
    </w:pPr>
    <w:rPr>
      <w:rFonts w:ascii="Times New Roman" w:eastAsia="Times New Roman" w:hAnsi="Times New Roman" w:cs="Times New Roman"/>
      <w:b/>
      <w:bCs/>
      <w:iCs/>
      <w:kern w:val="32"/>
      <w:sz w:val="28"/>
      <w:szCs w:val="28"/>
      <w:lang w:val="ru-RU" w:eastAsia="mk-MK"/>
    </w:rPr>
  </w:style>
  <w:style w:type="paragraph" w:styleId="Heading2">
    <w:name w:val="heading 2"/>
    <w:basedOn w:val="Normal"/>
    <w:next w:val="Normal"/>
    <w:link w:val="Heading2Char"/>
    <w:uiPriority w:val="9"/>
    <w:unhideWhenUsed/>
    <w:qFormat/>
    <w:rsid w:val="00D451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D624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50B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501E"/>
    <w:rPr>
      <w:rFonts w:ascii="Times New Roman" w:eastAsia="Times New Roman" w:hAnsi="Times New Roman" w:cs="Times New Roman"/>
      <w:b/>
      <w:bCs/>
      <w:iCs/>
      <w:kern w:val="32"/>
      <w:sz w:val="28"/>
      <w:szCs w:val="28"/>
      <w:lang w:val="ru-RU" w:eastAsia="mk-MK"/>
    </w:rPr>
  </w:style>
  <w:style w:type="character" w:customStyle="1" w:styleId="Heading2Char">
    <w:name w:val="Heading 2 Char"/>
    <w:basedOn w:val="DefaultParagraphFont"/>
    <w:link w:val="Heading2"/>
    <w:uiPriority w:val="9"/>
    <w:rsid w:val="00D451A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D624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50BDF"/>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qFormat/>
    <w:rsid w:val="00902482"/>
    <w:pPr>
      <w:spacing w:before="120" w:after="120" w:line="240" w:lineRule="auto"/>
      <w:jc w:val="center"/>
    </w:pPr>
    <w:rPr>
      <w:rFonts w:ascii="Times New Roman Bold" w:eastAsia="Times New Roman" w:hAnsi="Times New Roman Bold" w:cs="Times New Roman"/>
      <w:b/>
      <w:bCs/>
      <w:sz w:val="24"/>
      <w:szCs w:val="20"/>
    </w:rPr>
  </w:style>
  <w:style w:type="paragraph" w:styleId="ListParagraph">
    <w:name w:val="List Paragraph"/>
    <w:basedOn w:val="Normal"/>
    <w:link w:val="ListParagraphChar"/>
    <w:uiPriority w:val="34"/>
    <w:qFormat/>
    <w:rsid w:val="00AF670B"/>
    <w:pPr>
      <w:ind w:left="720"/>
      <w:contextualSpacing/>
    </w:pPr>
  </w:style>
  <w:style w:type="character" w:customStyle="1" w:styleId="ListParagraphChar">
    <w:name w:val="List Paragraph Char"/>
    <w:link w:val="ListParagraph"/>
    <w:uiPriority w:val="34"/>
    <w:locked/>
    <w:rsid w:val="00D451AF"/>
  </w:style>
  <w:style w:type="paragraph" w:styleId="BalloonText">
    <w:name w:val="Balloon Text"/>
    <w:basedOn w:val="Normal"/>
    <w:link w:val="BalloonTextChar"/>
    <w:uiPriority w:val="99"/>
    <w:semiHidden/>
    <w:unhideWhenUsed/>
    <w:rsid w:val="00AF67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70B"/>
    <w:rPr>
      <w:rFonts w:ascii="Tahoma" w:hAnsi="Tahoma" w:cs="Tahoma"/>
      <w:sz w:val="16"/>
      <w:szCs w:val="16"/>
    </w:rPr>
  </w:style>
  <w:style w:type="paragraph" w:styleId="Header">
    <w:name w:val="header"/>
    <w:basedOn w:val="Normal"/>
    <w:link w:val="HeaderChar"/>
    <w:uiPriority w:val="99"/>
    <w:unhideWhenUsed/>
    <w:rsid w:val="00753A81"/>
    <w:pPr>
      <w:tabs>
        <w:tab w:val="center" w:pos="4536"/>
        <w:tab w:val="right" w:pos="9072"/>
      </w:tabs>
      <w:spacing w:after="0" w:line="240" w:lineRule="auto"/>
    </w:pPr>
  </w:style>
  <w:style w:type="character" w:customStyle="1" w:styleId="HeaderChar">
    <w:name w:val="Header Char"/>
    <w:basedOn w:val="DefaultParagraphFont"/>
    <w:link w:val="Header"/>
    <w:uiPriority w:val="99"/>
    <w:rsid w:val="00753A81"/>
  </w:style>
  <w:style w:type="paragraph" w:styleId="Footer">
    <w:name w:val="footer"/>
    <w:basedOn w:val="Normal"/>
    <w:link w:val="FooterChar"/>
    <w:uiPriority w:val="99"/>
    <w:unhideWhenUsed/>
    <w:rsid w:val="00753A81"/>
    <w:pPr>
      <w:tabs>
        <w:tab w:val="center" w:pos="4536"/>
        <w:tab w:val="right" w:pos="9072"/>
      </w:tabs>
      <w:spacing w:after="0" w:line="240" w:lineRule="auto"/>
    </w:pPr>
  </w:style>
  <w:style w:type="character" w:customStyle="1" w:styleId="FooterChar">
    <w:name w:val="Footer Char"/>
    <w:basedOn w:val="DefaultParagraphFont"/>
    <w:link w:val="Footer"/>
    <w:uiPriority w:val="99"/>
    <w:rsid w:val="00753A81"/>
  </w:style>
  <w:style w:type="paragraph" w:styleId="TOC1">
    <w:name w:val="toc 1"/>
    <w:basedOn w:val="Normal"/>
    <w:next w:val="Normal"/>
    <w:autoRedefine/>
    <w:uiPriority w:val="39"/>
    <w:unhideWhenUsed/>
    <w:rsid w:val="00C4415F"/>
    <w:pPr>
      <w:spacing w:before="120" w:after="0"/>
    </w:pPr>
    <w:rPr>
      <w:rFonts w:cstheme="minorHAnsi"/>
      <w:b/>
      <w:bCs/>
      <w:i/>
      <w:iCs/>
      <w:sz w:val="24"/>
      <w:szCs w:val="24"/>
    </w:rPr>
  </w:style>
  <w:style w:type="character" w:customStyle="1" w:styleId="Normal1Char">
    <w:name w:val="Normal1 Char"/>
    <w:link w:val="Normal1"/>
    <w:uiPriority w:val="99"/>
    <w:locked/>
    <w:rsid w:val="00D451AF"/>
    <w:rPr>
      <w:sz w:val="24"/>
      <w:szCs w:val="24"/>
    </w:rPr>
  </w:style>
  <w:style w:type="paragraph" w:customStyle="1" w:styleId="Normal1">
    <w:name w:val="Normal1"/>
    <w:basedOn w:val="Normal"/>
    <w:link w:val="Normal1Char"/>
    <w:uiPriority w:val="99"/>
    <w:rsid w:val="00D451AF"/>
    <w:pPr>
      <w:widowControl w:val="0"/>
      <w:spacing w:before="240" w:after="0" w:line="360" w:lineRule="auto"/>
      <w:ind w:right="74"/>
      <w:jc w:val="both"/>
    </w:pPr>
    <w:rPr>
      <w:sz w:val="24"/>
      <w:szCs w:val="24"/>
    </w:rPr>
  </w:style>
  <w:style w:type="paragraph" w:customStyle="1" w:styleId="ParaAttribute3">
    <w:name w:val="ParaAttribute3"/>
    <w:rsid w:val="00AB7DC8"/>
    <w:pPr>
      <w:spacing w:line="240" w:lineRule="auto"/>
      <w:jc w:val="center"/>
    </w:pPr>
    <w:rPr>
      <w:rFonts w:ascii="Times New Roman" w:eastAsia="Batang" w:hAnsi="Times New Roman" w:cs="Times New Roman"/>
      <w:sz w:val="20"/>
      <w:szCs w:val="20"/>
    </w:rPr>
  </w:style>
  <w:style w:type="paragraph" w:customStyle="1" w:styleId="ParaAttribute5">
    <w:name w:val="ParaAttribute5"/>
    <w:rsid w:val="00AB7DC8"/>
    <w:pPr>
      <w:spacing w:line="240" w:lineRule="auto"/>
    </w:pPr>
    <w:rPr>
      <w:rFonts w:ascii="Times New Roman" w:eastAsia="Batang" w:hAnsi="Times New Roman" w:cs="Times New Roman"/>
      <w:sz w:val="20"/>
      <w:szCs w:val="20"/>
    </w:rPr>
  </w:style>
  <w:style w:type="character" w:customStyle="1" w:styleId="CharAttribute1">
    <w:name w:val="CharAttribute1"/>
    <w:rsid w:val="00AB7DC8"/>
    <w:rPr>
      <w:rFonts w:ascii="Calibri" w:eastAsia="Calibri"/>
      <w:sz w:val="22"/>
    </w:rPr>
  </w:style>
  <w:style w:type="character" w:customStyle="1" w:styleId="CharAttribute3">
    <w:name w:val="CharAttribute3"/>
    <w:rsid w:val="00AB7DC8"/>
    <w:rPr>
      <w:rFonts w:ascii="Arial" w:eastAsia="Calibri"/>
      <w:sz w:val="24"/>
    </w:rPr>
  </w:style>
  <w:style w:type="character" w:customStyle="1" w:styleId="CharAttribute4">
    <w:name w:val="CharAttribute4"/>
    <w:rsid w:val="00AB7DC8"/>
    <w:rPr>
      <w:rFonts w:ascii="Arial" w:eastAsia="Calibri"/>
      <w:b/>
      <w:sz w:val="24"/>
    </w:rPr>
  </w:style>
  <w:style w:type="character" w:customStyle="1" w:styleId="CharAttribute6">
    <w:name w:val="CharAttribute6"/>
    <w:rsid w:val="00AB7DC8"/>
    <w:rPr>
      <w:rFonts w:ascii="Arial" w:eastAsia="Calibri"/>
      <w:b/>
      <w:i/>
      <w:sz w:val="24"/>
    </w:rPr>
  </w:style>
  <w:style w:type="character" w:customStyle="1" w:styleId="CharAttribute7">
    <w:name w:val="CharAttribute7"/>
    <w:rsid w:val="00AB7DC8"/>
    <w:rPr>
      <w:rFonts w:ascii="Times New Roman" w:eastAsia="Calibri"/>
      <w:i/>
      <w:sz w:val="24"/>
    </w:rPr>
  </w:style>
  <w:style w:type="table" w:styleId="TableGrid">
    <w:name w:val="Table Grid"/>
    <w:basedOn w:val="TableNormal"/>
    <w:uiPriority w:val="59"/>
    <w:rsid w:val="00AB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List Bullet Char1 Char Char,List Bullet Char Char Char Char,List Bullet no space Char Char Char Char"/>
    <w:basedOn w:val="Normal"/>
    <w:unhideWhenUsed/>
    <w:rsid w:val="00A01A4A"/>
    <w:pPr>
      <w:tabs>
        <w:tab w:val="left" w:pos="425"/>
      </w:tabs>
      <w:spacing w:after="270" w:line="270" w:lineRule="atLeast"/>
      <w:ind w:left="425" w:hanging="425"/>
    </w:pPr>
    <w:rPr>
      <w:rFonts w:ascii="Times New Roman" w:eastAsia="Times New Roman" w:hAnsi="Times New Roman" w:cs="Times New Roman"/>
      <w:sz w:val="23"/>
      <w:szCs w:val="20"/>
      <w:lang w:val="en-GB" w:eastAsia="da-DK"/>
    </w:rPr>
  </w:style>
  <w:style w:type="paragraph" w:styleId="FootnoteText">
    <w:name w:val="footnote text"/>
    <w:aliases w:val="FOOTNOTES,fn,single space,ft,ALTS FOOTNOTE,ALTS FOOTNOTE Char,Footnote Text Char Char,footnote text,Footnote Text Char1 Char Char, Char Char Char Char Char, Char Char Char,Footnote Text Char2 Char,Geneva 9,Font: Geneva 9,Boston 10,f"/>
    <w:basedOn w:val="Normal"/>
    <w:link w:val="FootnoteTextChar"/>
    <w:uiPriority w:val="99"/>
    <w:unhideWhenUsed/>
    <w:qFormat/>
    <w:rsid w:val="00A01A4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S Char,fn Char,single space Char,ft Char,ALTS FOOTNOTE Char1,ALTS FOOTNOTE Char Char,Footnote Text Char Char Char,footnote text Char,Footnote Text Char1 Char Char Char, Char Char Char Char Char Char, Char Char Char Char,f Char"/>
    <w:basedOn w:val="DefaultParagraphFont"/>
    <w:link w:val="FootnoteText"/>
    <w:uiPriority w:val="99"/>
    <w:rsid w:val="00A01A4A"/>
    <w:rPr>
      <w:rFonts w:ascii="Times New Roman" w:eastAsia="Times New Roman" w:hAnsi="Times New Roman" w:cs="Times New Roman"/>
      <w:sz w:val="20"/>
      <w:szCs w:val="20"/>
    </w:rPr>
  </w:style>
  <w:style w:type="character" w:styleId="FootnoteReference">
    <w:name w:val="footnote reference"/>
    <w:aliases w:val="16 Point,Superscript 6 Point,ftref,fr,Footnote text,(NECG) Footnote Reference,Footnote Ref in FtNote,SUPERS,Fußnotenzeichen DISS,Ref,de nota al pie,Style 6,Footnote Reference1,Footnote Reference Number,Footnote symbol,o"/>
    <w:basedOn w:val="DefaultParagraphFont"/>
    <w:link w:val="ftrefCharCharCharCharCharCharCharCharChar"/>
    <w:uiPriority w:val="99"/>
    <w:unhideWhenUsed/>
    <w:qFormat/>
    <w:rsid w:val="00A01A4A"/>
    <w:rPr>
      <w:vertAlign w:val="superscript"/>
    </w:rPr>
  </w:style>
  <w:style w:type="table" w:customStyle="1" w:styleId="TableGrid1">
    <w:name w:val="Table Grid1"/>
    <w:basedOn w:val="TableNormal"/>
    <w:next w:val="TableGrid"/>
    <w:uiPriority w:val="59"/>
    <w:rsid w:val="00A01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01A4A"/>
    <w:rPr>
      <w:color w:val="0000FF"/>
      <w:u w:val="single"/>
    </w:rPr>
  </w:style>
  <w:style w:type="character" w:styleId="Emphasis">
    <w:name w:val="Emphasis"/>
    <w:basedOn w:val="DefaultParagraphFont"/>
    <w:uiPriority w:val="20"/>
    <w:qFormat/>
    <w:rsid w:val="00E36EC7"/>
    <w:rPr>
      <w:i/>
      <w:iCs/>
    </w:rPr>
  </w:style>
  <w:style w:type="paragraph" w:styleId="NormalWeb">
    <w:name w:val="Normal (Web)"/>
    <w:basedOn w:val="Normal"/>
    <w:uiPriority w:val="99"/>
    <w:unhideWhenUsed/>
    <w:rsid w:val="00580F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80F80"/>
    <w:pPr>
      <w:autoSpaceDE w:val="0"/>
      <w:autoSpaceDN w:val="0"/>
      <w:adjustRightInd w:val="0"/>
      <w:spacing w:after="0" w:line="240" w:lineRule="auto"/>
    </w:pPr>
    <w:rPr>
      <w:rFonts w:ascii="Verdana" w:eastAsia="Times New Roman" w:hAnsi="Verdana" w:cs="Verdana"/>
      <w:color w:val="000000"/>
      <w:sz w:val="24"/>
      <w:szCs w:val="24"/>
    </w:rPr>
  </w:style>
  <w:style w:type="character" w:styleId="CommentReference">
    <w:name w:val="annotation reference"/>
    <w:uiPriority w:val="99"/>
    <w:semiHidden/>
    <w:unhideWhenUsed/>
    <w:rsid w:val="00580F80"/>
    <w:rPr>
      <w:sz w:val="16"/>
      <w:szCs w:val="16"/>
    </w:rPr>
  </w:style>
  <w:style w:type="paragraph" w:styleId="CommentText">
    <w:name w:val="annotation text"/>
    <w:basedOn w:val="Normal"/>
    <w:link w:val="CommentTextChar"/>
    <w:uiPriority w:val="99"/>
    <w:semiHidden/>
    <w:unhideWhenUsed/>
    <w:rsid w:val="00580F80"/>
    <w:pPr>
      <w:spacing w:after="160" w:line="240" w:lineRule="auto"/>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semiHidden/>
    <w:rsid w:val="00580F80"/>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80F80"/>
    <w:rPr>
      <w:b/>
      <w:bCs/>
    </w:rPr>
  </w:style>
  <w:style w:type="character" w:customStyle="1" w:styleId="CommentSubjectChar">
    <w:name w:val="Comment Subject Char"/>
    <w:basedOn w:val="CommentTextChar"/>
    <w:link w:val="CommentSubject"/>
    <w:uiPriority w:val="99"/>
    <w:semiHidden/>
    <w:rsid w:val="00580F80"/>
    <w:rPr>
      <w:rFonts w:ascii="Calibri" w:eastAsia="Calibri" w:hAnsi="Calibri" w:cs="Times New Roman"/>
      <w:b/>
      <w:bCs/>
      <w:sz w:val="20"/>
      <w:szCs w:val="20"/>
      <w:lang w:val="en-GB"/>
    </w:rPr>
  </w:style>
  <w:style w:type="paragraph" w:customStyle="1" w:styleId="ParaAttribute0">
    <w:name w:val="ParaAttribute0"/>
    <w:rsid w:val="00580F80"/>
    <w:pPr>
      <w:widowControl w:val="0"/>
      <w:wordWrap w:val="0"/>
      <w:spacing w:after="0" w:line="240" w:lineRule="auto"/>
    </w:pPr>
    <w:rPr>
      <w:rFonts w:ascii="Times New Roman" w:eastAsia="Batang" w:hAnsi="Times New Roman" w:cs="Times New Roman"/>
      <w:sz w:val="20"/>
      <w:szCs w:val="20"/>
    </w:rPr>
  </w:style>
  <w:style w:type="paragraph" w:customStyle="1" w:styleId="ParaAttribute1">
    <w:name w:val="ParaAttribute1"/>
    <w:rsid w:val="00580F80"/>
    <w:pPr>
      <w:tabs>
        <w:tab w:val="center" w:pos="4536"/>
        <w:tab w:val="right" w:pos="9072"/>
      </w:tabs>
      <w:spacing w:after="0" w:line="240" w:lineRule="auto"/>
      <w:jc w:val="center"/>
    </w:pPr>
    <w:rPr>
      <w:rFonts w:ascii="Times New Roman" w:eastAsia="Batang" w:hAnsi="Times New Roman" w:cs="Times New Roman"/>
      <w:sz w:val="20"/>
      <w:szCs w:val="20"/>
    </w:rPr>
  </w:style>
  <w:style w:type="paragraph" w:customStyle="1" w:styleId="ParaAttribute2">
    <w:name w:val="ParaAttribute2"/>
    <w:rsid w:val="00580F80"/>
    <w:pPr>
      <w:tabs>
        <w:tab w:val="center" w:pos="4536"/>
        <w:tab w:val="right" w:pos="9072"/>
      </w:tabs>
      <w:spacing w:after="0" w:line="240" w:lineRule="auto"/>
    </w:pPr>
    <w:rPr>
      <w:rFonts w:ascii="Times New Roman" w:eastAsia="Batang" w:hAnsi="Times New Roman" w:cs="Times New Roman"/>
      <w:sz w:val="20"/>
      <w:szCs w:val="20"/>
    </w:rPr>
  </w:style>
  <w:style w:type="paragraph" w:customStyle="1" w:styleId="ParaAttribute4">
    <w:name w:val="ParaAttribute4"/>
    <w:rsid w:val="00580F80"/>
    <w:pPr>
      <w:spacing w:line="240" w:lineRule="auto"/>
      <w:ind w:left="1080" w:hanging="720"/>
    </w:pPr>
    <w:rPr>
      <w:rFonts w:ascii="Times New Roman" w:eastAsia="Batang" w:hAnsi="Times New Roman" w:cs="Times New Roman"/>
      <w:sz w:val="20"/>
      <w:szCs w:val="20"/>
    </w:rPr>
  </w:style>
  <w:style w:type="paragraph" w:customStyle="1" w:styleId="ParaAttribute6">
    <w:name w:val="ParaAttribute6"/>
    <w:rsid w:val="00580F80"/>
    <w:pPr>
      <w:spacing w:line="240" w:lineRule="auto"/>
      <w:ind w:left="720" w:hanging="360"/>
    </w:pPr>
    <w:rPr>
      <w:rFonts w:ascii="Times New Roman" w:eastAsia="Batang" w:hAnsi="Times New Roman" w:cs="Times New Roman"/>
      <w:sz w:val="20"/>
      <w:szCs w:val="20"/>
    </w:rPr>
  </w:style>
  <w:style w:type="paragraph" w:customStyle="1" w:styleId="ParaAttribute7">
    <w:name w:val="ParaAttribute7"/>
    <w:rsid w:val="00580F80"/>
    <w:pPr>
      <w:spacing w:line="240" w:lineRule="auto"/>
      <w:ind w:left="1440" w:hanging="360"/>
    </w:pPr>
    <w:rPr>
      <w:rFonts w:ascii="Times New Roman" w:eastAsia="Batang" w:hAnsi="Times New Roman" w:cs="Times New Roman"/>
      <w:sz w:val="20"/>
      <w:szCs w:val="20"/>
    </w:rPr>
  </w:style>
  <w:style w:type="paragraph" w:customStyle="1" w:styleId="ParaAttribute8">
    <w:name w:val="ParaAttribute8"/>
    <w:rsid w:val="00580F80"/>
    <w:pPr>
      <w:spacing w:line="240" w:lineRule="auto"/>
      <w:ind w:left="360"/>
    </w:pPr>
    <w:rPr>
      <w:rFonts w:ascii="Times New Roman" w:eastAsia="Batang" w:hAnsi="Times New Roman" w:cs="Times New Roman"/>
      <w:sz w:val="20"/>
      <w:szCs w:val="20"/>
    </w:rPr>
  </w:style>
  <w:style w:type="paragraph" w:customStyle="1" w:styleId="ParaAttribute9">
    <w:name w:val="ParaAttribute9"/>
    <w:rsid w:val="00580F80"/>
    <w:pPr>
      <w:spacing w:before="120" w:after="120" w:line="240" w:lineRule="auto"/>
      <w:jc w:val="both"/>
    </w:pPr>
    <w:rPr>
      <w:rFonts w:ascii="Times New Roman" w:eastAsia="Batang" w:hAnsi="Times New Roman" w:cs="Times New Roman"/>
      <w:sz w:val="20"/>
      <w:szCs w:val="20"/>
    </w:rPr>
  </w:style>
  <w:style w:type="paragraph" w:customStyle="1" w:styleId="ParaAttribute10">
    <w:name w:val="ParaAttribute10"/>
    <w:rsid w:val="00580F80"/>
    <w:pPr>
      <w:spacing w:before="120" w:after="120" w:line="240" w:lineRule="auto"/>
      <w:ind w:hanging="284"/>
      <w:jc w:val="both"/>
    </w:pPr>
    <w:rPr>
      <w:rFonts w:ascii="Times New Roman" w:eastAsia="Batang" w:hAnsi="Times New Roman" w:cs="Times New Roman"/>
      <w:sz w:val="20"/>
      <w:szCs w:val="20"/>
    </w:rPr>
  </w:style>
  <w:style w:type="paragraph" w:customStyle="1" w:styleId="ParaAttribute11">
    <w:name w:val="ParaAttribute11"/>
    <w:rsid w:val="00580F80"/>
    <w:pPr>
      <w:spacing w:line="240" w:lineRule="auto"/>
      <w:ind w:right="-337"/>
      <w:jc w:val="both"/>
    </w:pPr>
    <w:rPr>
      <w:rFonts w:ascii="Times New Roman" w:eastAsia="Batang" w:hAnsi="Times New Roman" w:cs="Times New Roman"/>
      <w:sz w:val="20"/>
      <w:szCs w:val="20"/>
    </w:rPr>
  </w:style>
  <w:style w:type="paragraph" w:customStyle="1" w:styleId="ParaAttribute12">
    <w:name w:val="ParaAttribute12"/>
    <w:rsid w:val="00580F80"/>
    <w:pPr>
      <w:spacing w:line="240" w:lineRule="auto"/>
    </w:pPr>
    <w:rPr>
      <w:rFonts w:ascii="Times New Roman" w:eastAsia="Batang" w:hAnsi="Times New Roman" w:cs="Times New Roman"/>
      <w:sz w:val="20"/>
      <w:szCs w:val="20"/>
    </w:rPr>
  </w:style>
  <w:style w:type="paragraph" w:customStyle="1" w:styleId="ParaAttribute13">
    <w:name w:val="ParaAttribute13"/>
    <w:rsid w:val="00580F80"/>
    <w:pPr>
      <w:spacing w:line="240" w:lineRule="auto"/>
    </w:pPr>
    <w:rPr>
      <w:rFonts w:ascii="Times New Roman" w:eastAsia="Batang" w:hAnsi="Times New Roman" w:cs="Times New Roman"/>
      <w:sz w:val="20"/>
      <w:szCs w:val="20"/>
    </w:rPr>
  </w:style>
  <w:style w:type="paragraph" w:customStyle="1" w:styleId="ParaAttribute14">
    <w:name w:val="ParaAttribute14"/>
    <w:rsid w:val="00580F80"/>
    <w:pPr>
      <w:spacing w:after="0" w:line="240" w:lineRule="auto"/>
    </w:pPr>
    <w:rPr>
      <w:rFonts w:ascii="Times New Roman" w:eastAsia="Batang" w:hAnsi="Times New Roman" w:cs="Times New Roman"/>
      <w:sz w:val="20"/>
      <w:szCs w:val="20"/>
    </w:rPr>
  </w:style>
  <w:style w:type="paragraph" w:customStyle="1" w:styleId="ParaAttribute15">
    <w:name w:val="ParaAttribute15"/>
    <w:rsid w:val="00580F80"/>
    <w:pPr>
      <w:spacing w:after="0" w:line="240" w:lineRule="auto"/>
      <w:jc w:val="right"/>
    </w:pPr>
    <w:rPr>
      <w:rFonts w:ascii="Times New Roman" w:eastAsia="Batang" w:hAnsi="Times New Roman" w:cs="Times New Roman"/>
      <w:sz w:val="20"/>
      <w:szCs w:val="20"/>
    </w:rPr>
  </w:style>
  <w:style w:type="paragraph" w:customStyle="1" w:styleId="ParaAttribute16">
    <w:name w:val="ParaAttribute16"/>
    <w:rsid w:val="00580F80"/>
    <w:pPr>
      <w:spacing w:line="240" w:lineRule="auto"/>
      <w:ind w:left="55"/>
    </w:pPr>
    <w:rPr>
      <w:rFonts w:ascii="Times New Roman" w:eastAsia="Batang" w:hAnsi="Times New Roman" w:cs="Times New Roman"/>
      <w:sz w:val="20"/>
      <w:szCs w:val="20"/>
    </w:rPr>
  </w:style>
  <w:style w:type="paragraph" w:customStyle="1" w:styleId="ParaAttribute17">
    <w:name w:val="ParaAttribute17"/>
    <w:rsid w:val="00580F80"/>
    <w:pPr>
      <w:spacing w:after="0" w:line="240" w:lineRule="auto"/>
      <w:ind w:left="720" w:hanging="360"/>
      <w:jc w:val="both"/>
    </w:pPr>
    <w:rPr>
      <w:rFonts w:ascii="Times New Roman" w:eastAsia="Batang" w:hAnsi="Times New Roman" w:cs="Times New Roman"/>
      <w:sz w:val="20"/>
      <w:szCs w:val="20"/>
    </w:rPr>
  </w:style>
  <w:style w:type="paragraph" w:customStyle="1" w:styleId="ParaAttribute18">
    <w:name w:val="ParaAttribute18"/>
    <w:rsid w:val="00580F80"/>
    <w:pPr>
      <w:spacing w:before="120" w:after="0" w:line="240" w:lineRule="auto"/>
      <w:jc w:val="both"/>
    </w:pPr>
    <w:rPr>
      <w:rFonts w:ascii="Times New Roman" w:eastAsia="Batang" w:hAnsi="Times New Roman" w:cs="Times New Roman"/>
      <w:sz w:val="20"/>
      <w:szCs w:val="20"/>
    </w:rPr>
  </w:style>
  <w:style w:type="paragraph" w:customStyle="1" w:styleId="ParaAttribute19">
    <w:name w:val="ParaAttribute19"/>
    <w:rsid w:val="00580F80"/>
    <w:pPr>
      <w:spacing w:before="120" w:after="0" w:line="240" w:lineRule="auto"/>
      <w:ind w:left="720" w:hanging="360"/>
      <w:jc w:val="both"/>
    </w:pPr>
    <w:rPr>
      <w:rFonts w:ascii="Times New Roman" w:eastAsia="Batang" w:hAnsi="Times New Roman" w:cs="Times New Roman"/>
      <w:sz w:val="20"/>
      <w:szCs w:val="20"/>
    </w:rPr>
  </w:style>
  <w:style w:type="paragraph" w:customStyle="1" w:styleId="ParaAttribute20">
    <w:name w:val="ParaAttribute20"/>
    <w:rsid w:val="00580F80"/>
    <w:pPr>
      <w:tabs>
        <w:tab w:val="left" w:pos="720"/>
      </w:tabs>
      <w:spacing w:before="120" w:after="0" w:line="240" w:lineRule="auto"/>
      <w:ind w:left="720" w:hanging="360"/>
      <w:jc w:val="both"/>
    </w:pPr>
    <w:rPr>
      <w:rFonts w:ascii="Times New Roman" w:eastAsia="Batang" w:hAnsi="Times New Roman" w:cs="Times New Roman"/>
      <w:sz w:val="20"/>
      <w:szCs w:val="20"/>
    </w:rPr>
  </w:style>
  <w:style w:type="paragraph" w:customStyle="1" w:styleId="ParaAttribute21">
    <w:name w:val="ParaAttribute21"/>
    <w:rsid w:val="00580F80"/>
    <w:pPr>
      <w:spacing w:before="120" w:after="0" w:line="240" w:lineRule="auto"/>
      <w:ind w:left="720" w:hanging="360"/>
      <w:jc w:val="both"/>
    </w:pPr>
    <w:rPr>
      <w:rFonts w:ascii="Times New Roman" w:eastAsia="Batang" w:hAnsi="Times New Roman" w:cs="Times New Roman"/>
      <w:sz w:val="20"/>
      <w:szCs w:val="20"/>
    </w:rPr>
  </w:style>
  <w:style w:type="paragraph" w:customStyle="1" w:styleId="ParaAttribute22">
    <w:name w:val="ParaAttribute22"/>
    <w:rsid w:val="00580F80"/>
    <w:pPr>
      <w:spacing w:before="120" w:after="120" w:line="360" w:lineRule="exact"/>
      <w:ind w:left="720" w:hanging="360"/>
      <w:jc w:val="both"/>
    </w:pPr>
    <w:rPr>
      <w:rFonts w:ascii="Times New Roman" w:eastAsia="Batang" w:hAnsi="Times New Roman" w:cs="Times New Roman"/>
      <w:sz w:val="20"/>
      <w:szCs w:val="20"/>
    </w:rPr>
  </w:style>
  <w:style w:type="paragraph" w:customStyle="1" w:styleId="ParaAttribute23">
    <w:name w:val="ParaAttribute23"/>
    <w:rsid w:val="00580F80"/>
    <w:pPr>
      <w:spacing w:line="240" w:lineRule="auto"/>
      <w:ind w:left="708"/>
    </w:pPr>
    <w:rPr>
      <w:rFonts w:ascii="Times New Roman" w:eastAsia="Batang" w:hAnsi="Times New Roman" w:cs="Times New Roman"/>
      <w:sz w:val="20"/>
      <w:szCs w:val="20"/>
    </w:rPr>
  </w:style>
  <w:style w:type="paragraph" w:customStyle="1" w:styleId="ParaAttribute24">
    <w:name w:val="ParaAttribute24"/>
    <w:rsid w:val="00580F80"/>
    <w:pPr>
      <w:spacing w:line="240" w:lineRule="auto"/>
      <w:ind w:firstLine="567"/>
      <w:jc w:val="both"/>
    </w:pPr>
    <w:rPr>
      <w:rFonts w:ascii="Times New Roman" w:eastAsia="Batang" w:hAnsi="Times New Roman" w:cs="Times New Roman"/>
      <w:sz w:val="20"/>
      <w:szCs w:val="20"/>
    </w:rPr>
  </w:style>
  <w:style w:type="paragraph" w:customStyle="1" w:styleId="ParaAttribute25">
    <w:name w:val="ParaAttribute25"/>
    <w:rsid w:val="00580F80"/>
    <w:pPr>
      <w:tabs>
        <w:tab w:val="left" w:pos="1287"/>
      </w:tabs>
      <w:spacing w:after="0" w:line="240" w:lineRule="auto"/>
      <w:ind w:left="1287" w:hanging="360"/>
      <w:jc w:val="both"/>
    </w:pPr>
    <w:rPr>
      <w:rFonts w:ascii="Times New Roman" w:eastAsia="Batang" w:hAnsi="Times New Roman" w:cs="Times New Roman"/>
      <w:sz w:val="20"/>
      <w:szCs w:val="20"/>
    </w:rPr>
  </w:style>
  <w:style w:type="paragraph" w:customStyle="1" w:styleId="ParaAttribute26">
    <w:name w:val="ParaAttribute26"/>
    <w:rsid w:val="00580F80"/>
    <w:pPr>
      <w:spacing w:line="240" w:lineRule="auto"/>
      <w:ind w:firstLine="567"/>
      <w:jc w:val="center"/>
    </w:pPr>
    <w:rPr>
      <w:rFonts w:ascii="Times New Roman" w:eastAsia="Batang" w:hAnsi="Times New Roman" w:cs="Times New Roman"/>
      <w:sz w:val="20"/>
      <w:szCs w:val="20"/>
    </w:rPr>
  </w:style>
  <w:style w:type="paragraph" w:customStyle="1" w:styleId="ParaAttribute27">
    <w:name w:val="ParaAttribute27"/>
    <w:rsid w:val="00580F80"/>
    <w:pPr>
      <w:spacing w:line="240" w:lineRule="auto"/>
      <w:ind w:left="720"/>
    </w:pPr>
    <w:rPr>
      <w:rFonts w:ascii="Times New Roman" w:eastAsia="Batang" w:hAnsi="Times New Roman" w:cs="Times New Roman"/>
      <w:sz w:val="20"/>
      <w:szCs w:val="20"/>
    </w:rPr>
  </w:style>
  <w:style w:type="character" w:customStyle="1" w:styleId="CharAttribute0">
    <w:name w:val="CharAttribute0"/>
    <w:rsid w:val="00580F80"/>
    <w:rPr>
      <w:rFonts w:ascii="Times New Roman" w:eastAsia="Times New Roman"/>
    </w:rPr>
  </w:style>
  <w:style w:type="character" w:customStyle="1" w:styleId="CharAttribute2">
    <w:name w:val="CharAttribute2"/>
    <w:rsid w:val="00580F80"/>
    <w:rPr>
      <w:rFonts w:ascii="Calibri" w:eastAsia="Calibri"/>
      <w:sz w:val="22"/>
    </w:rPr>
  </w:style>
  <w:style w:type="character" w:customStyle="1" w:styleId="CharAttribute5">
    <w:name w:val="CharAttribute5"/>
    <w:rsid w:val="00580F80"/>
    <w:rPr>
      <w:rFonts w:ascii="Arial" w:eastAsia="Calibri"/>
      <w:sz w:val="24"/>
    </w:rPr>
  </w:style>
  <w:style w:type="character" w:customStyle="1" w:styleId="CharAttribute8">
    <w:name w:val="CharAttribute8"/>
    <w:rsid w:val="00580F80"/>
    <w:rPr>
      <w:rFonts w:ascii="Wingdings" w:eastAsia="Calibri"/>
      <w:sz w:val="24"/>
    </w:rPr>
  </w:style>
  <w:style w:type="character" w:customStyle="1" w:styleId="CharAttribute9">
    <w:name w:val="CharAttribute9"/>
    <w:rsid w:val="00580F80"/>
    <w:rPr>
      <w:rFonts w:ascii="Wingdings" w:eastAsia="Calibri"/>
      <w:sz w:val="24"/>
    </w:rPr>
  </w:style>
  <w:style w:type="character" w:customStyle="1" w:styleId="CharAttribute10">
    <w:name w:val="CharAttribute10"/>
    <w:rsid w:val="00580F80"/>
    <w:rPr>
      <w:rFonts w:ascii="Courier New" w:eastAsia="Calibri"/>
      <w:sz w:val="24"/>
    </w:rPr>
  </w:style>
  <w:style w:type="character" w:customStyle="1" w:styleId="CharAttribute11">
    <w:name w:val="CharAttribute11"/>
    <w:rsid w:val="00580F80"/>
    <w:rPr>
      <w:rFonts w:ascii="Courier New" w:eastAsia="Calibri"/>
      <w:sz w:val="24"/>
    </w:rPr>
  </w:style>
  <w:style w:type="character" w:customStyle="1" w:styleId="CharAttribute12">
    <w:name w:val="CharAttribute12"/>
    <w:rsid w:val="00580F80"/>
    <w:rPr>
      <w:rFonts w:ascii="Symbol" w:eastAsia="Calibri"/>
      <w:sz w:val="23"/>
    </w:rPr>
  </w:style>
  <w:style w:type="character" w:customStyle="1" w:styleId="CharAttribute13">
    <w:name w:val="CharAttribute13"/>
    <w:rsid w:val="00580F80"/>
    <w:rPr>
      <w:rFonts w:ascii="Symbol" w:eastAsia="Calibri"/>
      <w:sz w:val="23"/>
    </w:rPr>
  </w:style>
  <w:style w:type="character" w:customStyle="1" w:styleId="CharAttribute14">
    <w:name w:val="CharAttribute14"/>
    <w:rsid w:val="00580F80"/>
    <w:rPr>
      <w:rFonts w:ascii="Times New Roman" w:eastAsia="Batang"/>
      <w:sz w:val="24"/>
    </w:rPr>
  </w:style>
  <w:style w:type="character" w:customStyle="1" w:styleId="CharAttribute15">
    <w:name w:val="CharAttribute15"/>
    <w:rsid w:val="00580F80"/>
    <w:rPr>
      <w:rFonts w:ascii="Times New Roman" w:eastAsia="Times New Roman"/>
    </w:rPr>
  </w:style>
  <w:style w:type="character" w:customStyle="1" w:styleId="CharAttribute16">
    <w:name w:val="CharAttribute16"/>
    <w:rsid w:val="00580F80"/>
    <w:rPr>
      <w:rFonts w:ascii="Arial" w:eastAsia="Calibri"/>
      <w:sz w:val="22"/>
    </w:rPr>
  </w:style>
  <w:style w:type="character" w:customStyle="1" w:styleId="CharAttribute17">
    <w:name w:val="CharAttribute17"/>
    <w:rsid w:val="00580F80"/>
    <w:rPr>
      <w:rFonts w:ascii="Arial" w:eastAsia="Calibri"/>
      <w:sz w:val="22"/>
    </w:rPr>
  </w:style>
  <w:style w:type="character" w:customStyle="1" w:styleId="CharAttribute18">
    <w:name w:val="CharAttribute18"/>
    <w:rsid w:val="00580F80"/>
    <w:rPr>
      <w:rFonts w:ascii="Arial Narrow" w:eastAsia="Calibri"/>
      <w:sz w:val="22"/>
    </w:rPr>
  </w:style>
  <w:style w:type="character" w:customStyle="1" w:styleId="CharAttribute19">
    <w:name w:val="CharAttribute19"/>
    <w:rsid w:val="00580F80"/>
    <w:rPr>
      <w:rFonts w:ascii="Arial Narrow" w:eastAsia="Calibri"/>
      <w:sz w:val="22"/>
    </w:rPr>
  </w:style>
  <w:style w:type="character" w:customStyle="1" w:styleId="CharAttribute20">
    <w:name w:val="CharAttribute20"/>
    <w:rsid w:val="00580F80"/>
    <w:rPr>
      <w:rFonts w:ascii="Arial" w:eastAsia="Times New Roman"/>
    </w:rPr>
  </w:style>
  <w:style w:type="character" w:customStyle="1" w:styleId="CharAttribute21">
    <w:name w:val="CharAttribute21"/>
    <w:rsid w:val="00580F80"/>
    <w:rPr>
      <w:rFonts w:ascii="Arial" w:eastAsia="Times New Roman"/>
      <w:i/>
    </w:rPr>
  </w:style>
  <w:style w:type="character" w:customStyle="1" w:styleId="CharAttribute22">
    <w:name w:val="CharAttribute22"/>
    <w:rsid w:val="00580F80"/>
    <w:rPr>
      <w:rFonts w:ascii="Arial" w:eastAsia="Times New Roman"/>
      <w:b/>
    </w:rPr>
  </w:style>
  <w:style w:type="character" w:customStyle="1" w:styleId="CharAttribute23">
    <w:name w:val="CharAttribute23"/>
    <w:rsid w:val="00580F80"/>
    <w:rPr>
      <w:rFonts w:ascii="Arial" w:eastAsia="Calibri"/>
      <w:sz w:val="24"/>
    </w:rPr>
  </w:style>
  <w:style w:type="character" w:customStyle="1" w:styleId="CharAttribute24">
    <w:name w:val="CharAttribute24"/>
    <w:rsid w:val="00580F80"/>
    <w:rPr>
      <w:rFonts w:ascii="Times New Roman" w:eastAsia="Times New Roman"/>
    </w:rPr>
  </w:style>
  <w:style w:type="character" w:customStyle="1" w:styleId="CharAttribute25">
    <w:name w:val="CharAttribute25"/>
    <w:rsid w:val="00580F80"/>
    <w:rPr>
      <w:rFonts w:ascii="Times New Roman" w:eastAsia="Times New Roman"/>
    </w:rPr>
  </w:style>
  <w:style w:type="character" w:customStyle="1" w:styleId="CharAttribute26">
    <w:name w:val="CharAttribute26"/>
    <w:rsid w:val="00580F80"/>
    <w:rPr>
      <w:rFonts w:ascii="Times New Roman" w:eastAsia="Calibri"/>
      <w:sz w:val="26"/>
    </w:rPr>
  </w:style>
  <w:style w:type="character" w:customStyle="1" w:styleId="CharAttribute27">
    <w:name w:val="CharAttribute27"/>
    <w:rsid w:val="00580F80"/>
    <w:rPr>
      <w:rFonts w:ascii="Symbol" w:eastAsia="Calibri"/>
      <w:sz w:val="26"/>
    </w:rPr>
  </w:style>
  <w:style w:type="character" w:customStyle="1" w:styleId="CharAttribute28">
    <w:name w:val="CharAttribute28"/>
    <w:rsid w:val="00580F80"/>
    <w:rPr>
      <w:rFonts w:ascii="Symbol" w:eastAsia="Calibri"/>
      <w:sz w:val="26"/>
    </w:rPr>
  </w:style>
  <w:style w:type="character" w:customStyle="1" w:styleId="CharAttribute29">
    <w:name w:val="CharAttribute29"/>
    <w:rsid w:val="00580F80"/>
    <w:rPr>
      <w:rFonts w:ascii="Arial" w:eastAsia="Calibri"/>
      <w:sz w:val="26"/>
    </w:rPr>
  </w:style>
  <w:style w:type="character" w:customStyle="1" w:styleId="CharAttribute30">
    <w:name w:val="CharAttribute30"/>
    <w:rsid w:val="00580F80"/>
    <w:rPr>
      <w:rFonts w:ascii="Arial" w:eastAsia="Calibri"/>
      <w:sz w:val="26"/>
    </w:rPr>
  </w:style>
  <w:style w:type="character" w:customStyle="1" w:styleId="CharAttribute31">
    <w:name w:val="CharAttribute31"/>
    <w:rsid w:val="00580F80"/>
    <w:rPr>
      <w:rFonts w:ascii="Times New Roman" w:eastAsia="Calibri"/>
      <w:sz w:val="24"/>
    </w:rPr>
  </w:style>
  <w:style w:type="character" w:customStyle="1" w:styleId="CharAttribute32">
    <w:name w:val="CharAttribute32"/>
    <w:rsid w:val="00580F80"/>
    <w:rPr>
      <w:rFonts w:ascii="Times New Roman" w:eastAsia="Calibri"/>
      <w:sz w:val="24"/>
    </w:rPr>
  </w:style>
  <w:style w:type="character" w:customStyle="1" w:styleId="CharAttribute33">
    <w:name w:val="CharAttribute33"/>
    <w:rsid w:val="00580F80"/>
    <w:rPr>
      <w:rFonts w:ascii="Symbol" w:eastAsia="Calibri"/>
      <w:sz w:val="24"/>
    </w:rPr>
  </w:style>
  <w:style w:type="character" w:customStyle="1" w:styleId="CharAttribute34">
    <w:name w:val="CharAttribute34"/>
    <w:rsid w:val="00580F80"/>
    <w:rPr>
      <w:rFonts w:ascii="Symbol" w:eastAsia="Calibri"/>
      <w:sz w:val="24"/>
    </w:rPr>
  </w:style>
  <w:style w:type="character" w:customStyle="1" w:styleId="CharAttribute35">
    <w:name w:val="CharAttribute35"/>
    <w:rsid w:val="00580F80"/>
    <w:rPr>
      <w:rFonts w:ascii="Arial" w:eastAsia="Calibri"/>
      <w:sz w:val="24"/>
      <w:vertAlign w:val="superscript"/>
    </w:rPr>
  </w:style>
  <w:style w:type="character" w:customStyle="1" w:styleId="CharAttribute36">
    <w:name w:val="CharAttribute36"/>
    <w:rsid w:val="00580F80"/>
    <w:rPr>
      <w:rFonts w:ascii="Arial" w:eastAsia="Calibri"/>
      <w:i/>
      <w:sz w:val="24"/>
    </w:rPr>
  </w:style>
  <w:style w:type="character" w:customStyle="1" w:styleId="CharAttribute37">
    <w:name w:val="CharAttribute37"/>
    <w:rsid w:val="00580F80"/>
    <w:rPr>
      <w:rFonts w:ascii="Times New Roman" w:eastAsia="Times New Roman"/>
      <w:sz w:val="24"/>
    </w:rPr>
  </w:style>
  <w:style w:type="paragraph" w:customStyle="1" w:styleId="A0E349F008B644AAB6A282E0D042D17E">
    <w:name w:val="A0E349F008B644AAB6A282E0D042D17E"/>
    <w:rsid w:val="00580F80"/>
    <w:rPr>
      <w:lang w:val="en-US" w:eastAsia="ja-JP"/>
    </w:rPr>
  </w:style>
  <w:style w:type="paragraph" w:styleId="PlainText">
    <w:name w:val="Plain Text"/>
    <w:basedOn w:val="Normal"/>
    <w:link w:val="PlainTextChar"/>
    <w:uiPriority w:val="99"/>
    <w:semiHidden/>
    <w:unhideWhenUsed/>
    <w:rsid w:val="00950BDF"/>
    <w:pPr>
      <w:spacing w:after="0" w:line="240" w:lineRule="auto"/>
    </w:pPr>
    <w:rPr>
      <w:rFonts w:ascii="Calibri" w:eastAsia="Calibri" w:hAnsi="Calibri" w:cs="Times New Roman"/>
      <w:sz w:val="20"/>
      <w:szCs w:val="21"/>
    </w:rPr>
  </w:style>
  <w:style w:type="character" w:customStyle="1" w:styleId="PlainTextChar">
    <w:name w:val="Plain Text Char"/>
    <w:basedOn w:val="DefaultParagraphFont"/>
    <w:link w:val="PlainText"/>
    <w:uiPriority w:val="99"/>
    <w:semiHidden/>
    <w:rsid w:val="00950BDF"/>
    <w:rPr>
      <w:rFonts w:ascii="Calibri" w:eastAsia="Calibri" w:hAnsi="Calibri" w:cs="Times New Roman"/>
      <w:sz w:val="20"/>
      <w:szCs w:val="21"/>
    </w:rPr>
  </w:style>
  <w:style w:type="paragraph" w:customStyle="1" w:styleId="font5">
    <w:name w:val="font5"/>
    <w:basedOn w:val="Normal"/>
    <w:rsid w:val="00950BDF"/>
    <w:pPr>
      <w:spacing w:before="100" w:beforeAutospacing="1" w:after="100" w:afterAutospacing="1" w:line="240" w:lineRule="auto"/>
    </w:pPr>
    <w:rPr>
      <w:rFonts w:ascii="Times New Roman" w:eastAsia="Times New Roman" w:hAnsi="Times New Roman" w:cs="Times New Roman"/>
      <w:i/>
      <w:iCs/>
      <w:color w:val="000000"/>
      <w:sz w:val="20"/>
      <w:szCs w:val="20"/>
    </w:rPr>
  </w:style>
  <w:style w:type="paragraph" w:customStyle="1" w:styleId="xl68">
    <w:name w:val="xl68"/>
    <w:basedOn w:val="Normal"/>
    <w:rsid w:val="00950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950BD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0">
    <w:name w:val="xl70"/>
    <w:basedOn w:val="Normal"/>
    <w:rsid w:val="00950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950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950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950BDF"/>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4">
    <w:name w:val="xl74"/>
    <w:basedOn w:val="Normal"/>
    <w:rsid w:val="00950BD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Normal"/>
    <w:rsid w:val="00950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6">
    <w:name w:val="xl76"/>
    <w:basedOn w:val="Normal"/>
    <w:rsid w:val="00950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7">
    <w:name w:val="xl77"/>
    <w:basedOn w:val="Normal"/>
    <w:rsid w:val="00950B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8">
    <w:name w:val="xl78"/>
    <w:basedOn w:val="Normal"/>
    <w:rsid w:val="00950B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9">
    <w:name w:val="xl79"/>
    <w:basedOn w:val="Normal"/>
    <w:rsid w:val="00950B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0">
    <w:name w:val="xl80"/>
    <w:basedOn w:val="Normal"/>
    <w:rsid w:val="00950BDF"/>
    <w:pPr>
      <w:pBdr>
        <w:top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950B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2">
    <w:name w:val="xl82"/>
    <w:basedOn w:val="Normal"/>
    <w:rsid w:val="00950B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3">
    <w:name w:val="xl83"/>
    <w:basedOn w:val="Normal"/>
    <w:rsid w:val="00950BDF"/>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4">
    <w:name w:val="xl84"/>
    <w:basedOn w:val="Normal"/>
    <w:rsid w:val="00950BDF"/>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5">
    <w:name w:val="xl85"/>
    <w:basedOn w:val="Normal"/>
    <w:rsid w:val="00950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6">
    <w:name w:val="xl86"/>
    <w:basedOn w:val="Normal"/>
    <w:rsid w:val="00950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7">
    <w:name w:val="xl87"/>
    <w:basedOn w:val="Normal"/>
    <w:rsid w:val="00950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8">
    <w:name w:val="xl88"/>
    <w:basedOn w:val="Normal"/>
    <w:rsid w:val="00950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89">
    <w:name w:val="xl89"/>
    <w:basedOn w:val="Normal"/>
    <w:rsid w:val="00950BD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0">
    <w:name w:val="xl90"/>
    <w:basedOn w:val="Normal"/>
    <w:rsid w:val="00950B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1">
    <w:name w:val="xl91"/>
    <w:basedOn w:val="Normal"/>
    <w:rsid w:val="00950BD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2">
    <w:name w:val="xl92"/>
    <w:basedOn w:val="Normal"/>
    <w:rsid w:val="00950B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3">
    <w:name w:val="xl93"/>
    <w:basedOn w:val="Normal"/>
    <w:rsid w:val="00950BD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950B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5">
    <w:name w:val="xl95"/>
    <w:basedOn w:val="Normal"/>
    <w:rsid w:val="00950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6">
    <w:name w:val="xl96"/>
    <w:basedOn w:val="Normal"/>
    <w:rsid w:val="00950BD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7">
    <w:name w:val="xl97"/>
    <w:basedOn w:val="Normal"/>
    <w:rsid w:val="00950BD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98">
    <w:name w:val="xl98"/>
    <w:basedOn w:val="Normal"/>
    <w:rsid w:val="00950BD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9">
    <w:name w:val="xl99"/>
    <w:basedOn w:val="Normal"/>
    <w:rsid w:val="00950BD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0">
    <w:name w:val="xl100"/>
    <w:basedOn w:val="Normal"/>
    <w:rsid w:val="00950BD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1">
    <w:name w:val="xl101"/>
    <w:basedOn w:val="Normal"/>
    <w:rsid w:val="00950BD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2">
    <w:name w:val="xl102"/>
    <w:basedOn w:val="Normal"/>
    <w:rsid w:val="00950B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3">
    <w:name w:val="xl103"/>
    <w:basedOn w:val="Normal"/>
    <w:rsid w:val="00950BDF"/>
    <w:pPr>
      <w:pBdr>
        <w:left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4">
    <w:name w:val="xl104"/>
    <w:basedOn w:val="Normal"/>
    <w:rsid w:val="00950B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5">
    <w:name w:val="xl105"/>
    <w:basedOn w:val="Normal"/>
    <w:rsid w:val="00950B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6">
    <w:name w:val="xl106"/>
    <w:basedOn w:val="Normal"/>
    <w:rsid w:val="00950BD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7">
    <w:name w:val="xl107"/>
    <w:basedOn w:val="Normal"/>
    <w:rsid w:val="00950BD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character" w:customStyle="1" w:styleId="samedocreference">
    <w:name w:val="samedocreference"/>
    <w:basedOn w:val="DefaultParagraphFont"/>
    <w:rsid w:val="00950BDF"/>
  </w:style>
  <w:style w:type="paragraph" w:styleId="TOCHeading">
    <w:name w:val="TOC Heading"/>
    <w:basedOn w:val="Heading1"/>
    <w:next w:val="Normal"/>
    <w:uiPriority w:val="39"/>
    <w:unhideWhenUsed/>
    <w:qFormat/>
    <w:rsid w:val="00950BDF"/>
    <w:pPr>
      <w:keepLines/>
      <w:spacing w:before="480" w:after="0" w:line="276" w:lineRule="auto"/>
      <w:outlineLvl w:val="9"/>
    </w:pPr>
    <w:rPr>
      <w:rFonts w:ascii="Cambria" w:hAnsi="Cambria"/>
      <w:iCs w:val="0"/>
      <w:color w:val="365F91"/>
      <w:kern w:val="0"/>
      <w:lang w:val="en-US" w:eastAsia="ja-JP"/>
    </w:rPr>
  </w:style>
  <w:style w:type="paragraph" w:styleId="TOC2">
    <w:name w:val="toc 2"/>
    <w:basedOn w:val="Normal"/>
    <w:next w:val="Normal"/>
    <w:autoRedefine/>
    <w:uiPriority w:val="39"/>
    <w:unhideWhenUsed/>
    <w:rsid w:val="00950BDF"/>
    <w:pPr>
      <w:spacing w:before="120" w:after="0"/>
      <w:ind w:left="220"/>
    </w:pPr>
    <w:rPr>
      <w:rFonts w:cstheme="minorHAnsi"/>
      <w:b/>
      <w:bCs/>
    </w:rPr>
  </w:style>
  <w:style w:type="paragraph" w:styleId="TOC3">
    <w:name w:val="toc 3"/>
    <w:basedOn w:val="Normal"/>
    <w:next w:val="Normal"/>
    <w:autoRedefine/>
    <w:uiPriority w:val="39"/>
    <w:unhideWhenUsed/>
    <w:rsid w:val="00950BDF"/>
    <w:pPr>
      <w:spacing w:after="0"/>
      <w:ind w:left="440"/>
    </w:pPr>
    <w:rPr>
      <w:rFonts w:cstheme="minorHAnsi"/>
      <w:sz w:val="20"/>
      <w:szCs w:val="20"/>
    </w:rPr>
  </w:style>
  <w:style w:type="paragraph" w:styleId="TOC4">
    <w:name w:val="toc 4"/>
    <w:basedOn w:val="Normal"/>
    <w:next w:val="Normal"/>
    <w:autoRedefine/>
    <w:uiPriority w:val="39"/>
    <w:unhideWhenUsed/>
    <w:rsid w:val="00950BDF"/>
    <w:pPr>
      <w:spacing w:after="0"/>
      <w:ind w:left="660"/>
    </w:pPr>
    <w:rPr>
      <w:rFonts w:cstheme="minorHAnsi"/>
      <w:sz w:val="20"/>
      <w:szCs w:val="20"/>
    </w:rPr>
  </w:style>
  <w:style w:type="paragraph" w:styleId="TOC5">
    <w:name w:val="toc 5"/>
    <w:basedOn w:val="Normal"/>
    <w:next w:val="Normal"/>
    <w:autoRedefine/>
    <w:uiPriority w:val="39"/>
    <w:unhideWhenUsed/>
    <w:rsid w:val="00950BDF"/>
    <w:pPr>
      <w:spacing w:after="0"/>
      <w:ind w:left="880"/>
    </w:pPr>
    <w:rPr>
      <w:rFonts w:cstheme="minorHAnsi"/>
      <w:sz w:val="20"/>
      <w:szCs w:val="20"/>
    </w:rPr>
  </w:style>
  <w:style w:type="paragraph" w:styleId="TOC6">
    <w:name w:val="toc 6"/>
    <w:basedOn w:val="Normal"/>
    <w:next w:val="Normal"/>
    <w:autoRedefine/>
    <w:uiPriority w:val="39"/>
    <w:unhideWhenUsed/>
    <w:rsid w:val="00950BDF"/>
    <w:pPr>
      <w:spacing w:after="0"/>
      <w:ind w:left="1100"/>
    </w:pPr>
    <w:rPr>
      <w:rFonts w:cstheme="minorHAnsi"/>
      <w:sz w:val="20"/>
      <w:szCs w:val="20"/>
    </w:rPr>
  </w:style>
  <w:style w:type="paragraph" w:styleId="TOC7">
    <w:name w:val="toc 7"/>
    <w:basedOn w:val="Normal"/>
    <w:next w:val="Normal"/>
    <w:autoRedefine/>
    <w:uiPriority w:val="39"/>
    <w:unhideWhenUsed/>
    <w:rsid w:val="00950BDF"/>
    <w:pPr>
      <w:spacing w:after="0"/>
      <w:ind w:left="1320"/>
    </w:pPr>
    <w:rPr>
      <w:rFonts w:cstheme="minorHAnsi"/>
      <w:sz w:val="20"/>
      <w:szCs w:val="20"/>
    </w:rPr>
  </w:style>
  <w:style w:type="paragraph" w:styleId="TOC8">
    <w:name w:val="toc 8"/>
    <w:basedOn w:val="Normal"/>
    <w:next w:val="Normal"/>
    <w:autoRedefine/>
    <w:uiPriority w:val="39"/>
    <w:unhideWhenUsed/>
    <w:rsid w:val="00950BDF"/>
    <w:pPr>
      <w:spacing w:after="0"/>
      <w:ind w:left="1540"/>
    </w:pPr>
    <w:rPr>
      <w:rFonts w:cstheme="minorHAnsi"/>
      <w:sz w:val="20"/>
      <w:szCs w:val="20"/>
    </w:rPr>
  </w:style>
  <w:style w:type="paragraph" w:styleId="TOC9">
    <w:name w:val="toc 9"/>
    <w:basedOn w:val="Normal"/>
    <w:next w:val="Normal"/>
    <w:autoRedefine/>
    <w:uiPriority w:val="39"/>
    <w:unhideWhenUsed/>
    <w:rsid w:val="00950BDF"/>
    <w:pPr>
      <w:spacing w:after="0"/>
      <w:ind w:left="1760"/>
    </w:pPr>
    <w:rPr>
      <w:rFonts w:cstheme="minorHAnsi"/>
      <w:sz w:val="20"/>
      <w:szCs w:val="20"/>
    </w:rPr>
  </w:style>
  <w:style w:type="paragraph" w:styleId="EndnoteText">
    <w:name w:val="endnote text"/>
    <w:basedOn w:val="Normal"/>
    <w:link w:val="EndnoteTextChar"/>
    <w:uiPriority w:val="99"/>
    <w:semiHidden/>
    <w:unhideWhenUsed/>
    <w:rsid w:val="00950BDF"/>
    <w:pPr>
      <w:spacing w:after="120" w:line="240" w:lineRule="auto"/>
      <w:jc w:val="both"/>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semiHidden/>
    <w:rsid w:val="00950BDF"/>
    <w:rPr>
      <w:rFonts w:ascii="Times New Roman" w:eastAsia="Calibri" w:hAnsi="Times New Roman" w:cs="Times New Roman"/>
      <w:sz w:val="20"/>
      <w:szCs w:val="20"/>
    </w:rPr>
  </w:style>
  <w:style w:type="paragraph" w:styleId="TableofFigures">
    <w:name w:val="table of figures"/>
    <w:basedOn w:val="Normal"/>
    <w:next w:val="Normal"/>
    <w:uiPriority w:val="99"/>
    <w:unhideWhenUsed/>
    <w:rsid w:val="00950BDF"/>
    <w:pPr>
      <w:spacing w:after="0" w:line="240" w:lineRule="auto"/>
    </w:pPr>
    <w:rPr>
      <w:rFonts w:ascii="Calibri" w:eastAsia="Calibri" w:hAnsi="Calibri" w:cs="Calibri"/>
      <w:i/>
      <w:iCs/>
      <w:sz w:val="20"/>
      <w:szCs w:val="20"/>
    </w:rPr>
  </w:style>
  <w:style w:type="paragraph" w:styleId="Revision">
    <w:name w:val="Revision"/>
    <w:hidden/>
    <w:uiPriority w:val="99"/>
    <w:semiHidden/>
    <w:rsid w:val="001045DC"/>
    <w:pPr>
      <w:spacing w:after="0" w:line="240" w:lineRule="auto"/>
    </w:pPr>
  </w:style>
  <w:style w:type="character" w:customStyle="1" w:styleId="hps">
    <w:name w:val="hps"/>
    <w:basedOn w:val="DefaultParagraphFont"/>
    <w:rsid w:val="0089539E"/>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link w:val="FootnoteReference"/>
    <w:rsid w:val="00AB3426"/>
    <w:pPr>
      <w:spacing w:after="0" w:line="240" w:lineRule="exact"/>
    </w:pPr>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E501E"/>
    <w:pPr>
      <w:keepNext/>
      <w:spacing w:before="240" w:after="240" w:line="240" w:lineRule="auto"/>
      <w:outlineLvl w:val="0"/>
    </w:pPr>
    <w:rPr>
      <w:rFonts w:ascii="Times New Roman" w:eastAsia="Times New Roman" w:hAnsi="Times New Roman" w:cs="Times New Roman"/>
      <w:b/>
      <w:bCs/>
      <w:iCs/>
      <w:kern w:val="32"/>
      <w:sz w:val="28"/>
      <w:szCs w:val="28"/>
      <w:lang w:val="ru-RU" w:eastAsia="mk-MK"/>
    </w:rPr>
  </w:style>
  <w:style w:type="paragraph" w:styleId="Heading2">
    <w:name w:val="heading 2"/>
    <w:basedOn w:val="Normal"/>
    <w:next w:val="Normal"/>
    <w:link w:val="Heading2Char"/>
    <w:uiPriority w:val="9"/>
    <w:unhideWhenUsed/>
    <w:qFormat/>
    <w:rsid w:val="00D451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D624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50B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501E"/>
    <w:rPr>
      <w:rFonts w:ascii="Times New Roman" w:eastAsia="Times New Roman" w:hAnsi="Times New Roman" w:cs="Times New Roman"/>
      <w:b/>
      <w:bCs/>
      <w:iCs/>
      <w:kern w:val="32"/>
      <w:sz w:val="28"/>
      <w:szCs w:val="28"/>
      <w:lang w:val="ru-RU" w:eastAsia="mk-MK"/>
    </w:rPr>
  </w:style>
  <w:style w:type="character" w:customStyle="1" w:styleId="Heading2Char">
    <w:name w:val="Heading 2 Char"/>
    <w:basedOn w:val="DefaultParagraphFont"/>
    <w:link w:val="Heading2"/>
    <w:uiPriority w:val="9"/>
    <w:rsid w:val="00D451A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D624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50BDF"/>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qFormat/>
    <w:rsid w:val="00902482"/>
    <w:pPr>
      <w:spacing w:before="120" w:after="120" w:line="240" w:lineRule="auto"/>
      <w:jc w:val="center"/>
    </w:pPr>
    <w:rPr>
      <w:rFonts w:ascii="Times New Roman Bold" w:eastAsia="Times New Roman" w:hAnsi="Times New Roman Bold" w:cs="Times New Roman"/>
      <w:b/>
      <w:bCs/>
      <w:sz w:val="24"/>
      <w:szCs w:val="20"/>
    </w:rPr>
  </w:style>
  <w:style w:type="paragraph" w:styleId="ListParagraph">
    <w:name w:val="List Paragraph"/>
    <w:basedOn w:val="Normal"/>
    <w:link w:val="ListParagraphChar"/>
    <w:uiPriority w:val="34"/>
    <w:qFormat/>
    <w:rsid w:val="00AF670B"/>
    <w:pPr>
      <w:ind w:left="720"/>
      <w:contextualSpacing/>
    </w:pPr>
  </w:style>
  <w:style w:type="character" w:customStyle="1" w:styleId="ListParagraphChar">
    <w:name w:val="List Paragraph Char"/>
    <w:link w:val="ListParagraph"/>
    <w:uiPriority w:val="34"/>
    <w:locked/>
    <w:rsid w:val="00D451AF"/>
  </w:style>
  <w:style w:type="paragraph" w:styleId="BalloonText">
    <w:name w:val="Balloon Text"/>
    <w:basedOn w:val="Normal"/>
    <w:link w:val="BalloonTextChar"/>
    <w:uiPriority w:val="99"/>
    <w:semiHidden/>
    <w:unhideWhenUsed/>
    <w:rsid w:val="00AF67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70B"/>
    <w:rPr>
      <w:rFonts w:ascii="Tahoma" w:hAnsi="Tahoma" w:cs="Tahoma"/>
      <w:sz w:val="16"/>
      <w:szCs w:val="16"/>
    </w:rPr>
  </w:style>
  <w:style w:type="paragraph" w:styleId="Header">
    <w:name w:val="header"/>
    <w:basedOn w:val="Normal"/>
    <w:link w:val="HeaderChar"/>
    <w:uiPriority w:val="99"/>
    <w:unhideWhenUsed/>
    <w:rsid w:val="00753A81"/>
    <w:pPr>
      <w:tabs>
        <w:tab w:val="center" w:pos="4536"/>
        <w:tab w:val="right" w:pos="9072"/>
      </w:tabs>
      <w:spacing w:after="0" w:line="240" w:lineRule="auto"/>
    </w:pPr>
  </w:style>
  <w:style w:type="character" w:customStyle="1" w:styleId="HeaderChar">
    <w:name w:val="Header Char"/>
    <w:basedOn w:val="DefaultParagraphFont"/>
    <w:link w:val="Header"/>
    <w:uiPriority w:val="99"/>
    <w:rsid w:val="00753A81"/>
  </w:style>
  <w:style w:type="paragraph" w:styleId="Footer">
    <w:name w:val="footer"/>
    <w:basedOn w:val="Normal"/>
    <w:link w:val="FooterChar"/>
    <w:uiPriority w:val="99"/>
    <w:unhideWhenUsed/>
    <w:rsid w:val="00753A81"/>
    <w:pPr>
      <w:tabs>
        <w:tab w:val="center" w:pos="4536"/>
        <w:tab w:val="right" w:pos="9072"/>
      </w:tabs>
      <w:spacing w:after="0" w:line="240" w:lineRule="auto"/>
    </w:pPr>
  </w:style>
  <w:style w:type="character" w:customStyle="1" w:styleId="FooterChar">
    <w:name w:val="Footer Char"/>
    <w:basedOn w:val="DefaultParagraphFont"/>
    <w:link w:val="Footer"/>
    <w:uiPriority w:val="99"/>
    <w:rsid w:val="00753A81"/>
  </w:style>
  <w:style w:type="paragraph" w:styleId="TOC1">
    <w:name w:val="toc 1"/>
    <w:basedOn w:val="Normal"/>
    <w:next w:val="Normal"/>
    <w:autoRedefine/>
    <w:uiPriority w:val="39"/>
    <w:unhideWhenUsed/>
    <w:rsid w:val="00C4415F"/>
    <w:pPr>
      <w:spacing w:before="120" w:after="0"/>
    </w:pPr>
    <w:rPr>
      <w:rFonts w:cstheme="minorHAnsi"/>
      <w:b/>
      <w:bCs/>
      <w:i/>
      <w:iCs/>
      <w:sz w:val="24"/>
      <w:szCs w:val="24"/>
    </w:rPr>
  </w:style>
  <w:style w:type="character" w:customStyle="1" w:styleId="Normal1Char">
    <w:name w:val="Normal1 Char"/>
    <w:link w:val="Normal1"/>
    <w:uiPriority w:val="99"/>
    <w:locked/>
    <w:rsid w:val="00D451AF"/>
    <w:rPr>
      <w:sz w:val="24"/>
      <w:szCs w:val="24"/>
    </w:rPr>
  </w:style>
  <w:style w:type="paragraph" w:customStyle="1" w:styleId="Normal1">
    <w:name w:val="Normal1"/>
    <w:basedOn w:val="Normal"/>
    <w:link w:val="Normal1Char"/>
    <w:uiPriority w:val="99"/>
    <w:rsid w:val="00D451AF"/>
    <w:pPr>
      <w:widowControl w:val="0"/>
      <w:spacing w:before="240" w:after="0" w:line="360" w:lineRule="auto"/>
      <w:ind w:right="74"/>
      <w:jc w:val="both"/>
    </w:pPr>
    <w:rPr>
      <w:sz w:val="24"/>
      <w:szCs w:val="24"/>
    </w:rPr>
  </w:style>
  <w:style w:type="paragraph" w:customStyle="1" w:styleId="ParaAttribute3">
    <w:name w:val="ParaAttribute3"/>
    <w:rsid w:val="00AB7DC8"/>
    <w:pPr>
      <w:spacing w:line="240" w:lineRule="auto"/>
      <w:jc w:val="center"/>
    </w:pPr>
    <w:rPr>
      <w:rFonts w:ascii="Times New Roman" w:eastAsia="Batang" w:hAnsi="Times New Roman" w:cs="Times New Roman"/>
      <w:sz w:val="20"/>
      <w:szCs w:val="20"/>
    </w:rPr>
  </w:style>
  <w:style w:type="paragraph" w:customStyle="1" w:styleId="ParaAttribute5">
    <w:name w:val="ParaAttribute5"/>
    <w:rsid w:val="00AB7DC8"/>
    <w:pPr>
      <w:spacing w:line="240" w:lineRule="auto"/>
    </w:pPr>
    <w:rPr>
      <w:rFonts w:ascii="Times New Roman" w:eastAsia="Batang" w:hAnsi="Times New Roman" w:cs="Times New Roman"/>
      <w:sz w:val="20"/>
      <w:szCs w:val="20"/>
    </w:rPr>
  </w:style>
  <w:style w:type="character" w:customStyle="1" w:styleId="CharAttribute1">
    <w:name w:val="CharAttribute1"/>
    <w:rsid w:val="00AB7DC8"/>
    <w:rPr>
      <w:rFonts w:ascii="Calibri" w:eastAsia="Calibri"/>
      <w:sz w:val="22"/>
    </w:rPr>
  </w:style>
  <w:style w:type="character" w:customStyle="1" w:styleId="CharAttribute3">
    <w:name w:val="CharAttribute3"/>
    <w:rsid w:val="00AB7DC8"/>
    <w:rPr>
      <w:rFonts w:ascii="Arial" w:eastAsia="Calibri"/>
      <w:sz w:val="24"/>
    </w:rPr>
  </w:style>
  <w:style w:type="character" w:customStyle="1" w:styleId="CharAttribute4">
    <w:name w:val="CharAttribute4"/>
    <w:rsid w:val="00AB7DC8"/>
    <w:rPr>
      <w:rFonts w:ascii="Arial" w:eastAsia="Calibri"/>
      <w:b/>
      <w:sz w:val="24"/>
    </w:rPr>
  </w:style>
  <w:style w:type="character" w:customStyle="1" w:styleId="CharAttribute6">
    <w:name w:val="CharAttribute6"/>
    <w:rsid w:val="00AB7DC8"/>
    <w:rPr>
      <w:rFonts w:ascii="Arial" w:eastAsia="Calibri"/>
      <w:b/>
      <w:i/>
      <w:sz w:val="24"/>
    </w:rPr>
  </w:style>
  <w:style w:type="character" w:customStyle="1" w:styleId="CharAttribute7">
    <w:name w:val="CharAttribute7"/>
    <w:rsid w:val="00AB7DC8"/>
    <w:rPr>
      <w:rFonts w:ascii="Times New Roman" w:eastAsia="Calibri"/>
      <w:i/>
      <w:sz w:val="24"/>
    </w:rPr>
  </w:style>
  <w:style w:type="table" w:styleId="TableGrid">
    <w:name w:val="Table Grid"/>
    <w:basedOn w:val="TableNormal"/>
    <w:uiPriority w:val="59"/>
    <w:rsid w:val="00AB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List Bullet Char1 Char Char,List Bullet Char Char Char Char,List Bullet no space Char Char Char Char"/>
    <w:basedOn w:val="Normal"/>
    <w:unhideWhenUsed/>
    <w:rsid w:val="00A01A4A"/>
    <w:pPr>
      <w:tabs>
        <w:tab w:val="left" w:pos="425"/>
      </w:tabs>
      <w:spacing w:after="270" w:line="270" w:lineRule="atLeast"/>
      <w:ind w:left="425" w:hanging="425"/>
    </w:pPr>
    <w:rPr>
      <w:rFonts w:ascii="Times New Roman" w:eastAsia="Times New Roman" w:hAnsi="Times New Roman" w:cs="Times New Roman"/>
      <w:sz w:val="23"/>
      <w:szCs w:val="20"/>
      <w:lang w:val="en-GB" w:eastAsia="da-DK"/>
    </w:rPr>
  </w:style>
  <w:style w:type="paragraph" w:styleId="FootnoteText">
    <w:name w:val="footnote text"/>
    <w:aliases w:val="FOOTNOTES,fn,single space,ft,ALTS FOOTNOTE,ALTS FOOTNOTE Char,Footnote Text Char Char,footnote text,Footnote Text Char1 Char Char, Char Char Char Char Char, Char Char Char,Footnote Text Char2 Char,Geneva 9,Font: Geneva 9,Boston 10,f"/>
    <w:basedOn w:val="Normal"/>
    <w:link w:val="FootnoteTextChar"/>
    <w:uiPriority w:val="99"/>
    <w:unhideWhenUsed/>
    <w:qFormat/>
    <w:rsid w:val="00A01A4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S Char,fn Char,single space Char,ft Char,ALTS FOOTNOTE Char1,ALTS FOOTNOTE Char Char,Footnote Text Char Char Char,footnote text Char,Footnote Text Char1 Char Char Char, Char Char Char Char Char Char, Char Char Char Char,f Char"/>
    <w:basedOn w:val="DefaultParagraphFont"/>
    <w:link w:val="FootnoteText"/>
    <w:uiPriority w:val="99"/>
    <w:rsid w:val="00A01A4A"/>
    <w:rPr>
      <w:rFonts w:ascii="Times New Roman" w:eastAsia="Times New Roman" w:hAnsi="Times New Roman" w:cs="Times New Roman"/>
      <w:sz w:val="20"/>
      <w:szCs w:val="20"/>
    </w:rPr>
  </w:style>
  <w:style w:type="character" w:styleId="FootnoteReference">
    <w:name w:val="footnote reference"/>
    <w:aliases w:val="16 Point,Superscript 6 Point,ftref,fr,Footnote text,(NECG) Footnote Reference,Footnote Ref in FtNote,SUPERS,Fußnotenzeichen DISS,Ref,de nota al pie,Style 6,Footnote Reference1,Footnote Reference Number,Footnote symbol,o"/>
    <w:basedOn w:val="DefaultParagraphFont"/>
    <w:link w:val="ftrefCharCharCharCharCharCharCharCharChar"/>
    <w:uiPriority w:val="99"/>
    <w:unhideWhenUsed/>
    <w:qFormat/>
    <w:rsid w:val="00A01A4A"/>
    <w:rPr>
      <w:vertAlign w:val="superscript"/>
    </w:rPr>
  </w:style>
  <w:style w:type="table" w:customStyle="1" w:styleId="TableGrid1">
    <w:name w:val="Table Grid1"/>
    <w:basedOn w:val="TableNormal"/>
    <w:next w:val="TableGrid"/>
    <w:uiPriority w:val="59"/>
    <w:rsid w:val="00A01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01A4A"/>
    <w:rPr>
      <w:color w:val="0000FF"/>
      <w:u w:val="single"/>
    </w:rPr>
  </w:style>
  <w:style w:type="character" w:styleId="Emphasis">
    <w:name w:val="Emphasis"/>
    <w:basedOn w:val="DefaultParagraphFont"/>
    <w:uiPriority w:val="20"/>
    <w:qFormat/>
    <w:rsid w:val="00E36EC7"/>
    <w:rPr>
      <w:i/>
      <w:iCs/>
    </w:rPr>
  </w:style>
  <w:style w:type="paragraph" w:styleId="NormalWeb">
    <w:name w:val="Normal (Web)"/>
    <w:basedOn w:val="Normal"/>
    <w:uiPriority w:val="99"/>
    <w:unhideWhenUsed/>
    <w:rsid w:val="00580F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80F80"/>
    <w:pPr>
      <w:autoSpaceDE w:val="0"/>
      <w:autoSpaceDN w:val="0"/>
      <w:adjustRightInd w:val="0"/>
      <w:spacing w:after="0" w:line="240" w:lineRule="auto"/>
    </w:pPr>
    <w:rPr>
      <w:rFonts w:ascii="Verdana" w:eastAsia="Times New Roman" w:hAnsi="Verdana" w:cs="Verdana"/>
      <w:color w:val="000000"/>
      <w:sz w:val="24"/>
      <w:szCs w:val="24"/>
    </w:rPr>
  </w:style>
  <w:style w:type="character" w:styleId="CommentReference">
    <w:name w:val="annotation reference"/>
    <w:uiPriority w:val="99"/>
    <w:semiHidden/>
    <w:unhideWhenUsed/>
    <w:rsid w:val="00580F80"/>
    <w:rPr>
      <w:sz w:val="16"/>
      <w:szCs w:val="16"/>
    </w:rPr>
  </w:style>
  <w:style w:type="paragraph" w:styleId="CommentText">
    <w:name w:val="annotation text"/>
    <w:basedOn w:val="Normal"/>
    <w:link w:val="CommentTextChar"/>
    <w:uiPriority w:val="99"/>
    <w:semiHidden/>
    <w:unhideWhenUsed/>
    <w:rsid w:val="00580F80"/>
    <w:pPr>
      <w:spacing w:after="160" w:line="240" w:lineRule="auto"/>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semiHidden/>
    <w:rsid w:val="00580F80"/>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80F80"/>
    <w:rPr>
      <w:b/>
      <w:bCs/>
    </w:rPr>
  </w:style>
  <w:style w:type="character" w:customStyle="1" w:styleId="CommentSubjectChar">
    <w:name w:val="Comment Subject Char"/>
    <w:basedOn w:val="CommentTextChar"/>
    <w:link w:val="CommentSubject"/>
    <w:uiPriority w:val="99"/>
    <w:semiHidden/>
    <w:rsid w:val="00580F80"/>
    <w:rPr>
      <w:rFonts w:ascii="Calibri" w:eastAsia="Calibri" w:hAnsi="Calibri" w:cs="Times New Roman"/>
      <w:b/>
      <w:bCs/>
      <w:sz w:val="20"/>
      <w:szCs w:val="20"/>
      <w:lang w:val="en-GB"/>
    </w:rPr>
  </w:style>
  <w:style w:type="paragraph" w:customStyle="1" w:styleId="ParaAttribute0">
    <w:name w:val="ParaAttribute0"/>
    <w:rsid w:val="00580F80"/>
    <w:pPr>
      <w:widowControl w:val="0"/>
      <w:wordWrap w:val="0"/>
      <w:spacing w:after="0" w:line="240" w:lineRule="auto"/>
    </w:pPr>
    <w:rPr>
      <w:rFonts w:ascii="Times New Roman" w:eastAsia="Batang" w:hAnsi="Times New Roman" w:cs="Times New Roman"/>
      <w:sz w:val="20"/>
      <w:szCs w:val="20"/>
    </w:rPr>
  </w:style>
  <w:style w:type="paragraph" w:customStyle="1" w:styleId="ParaAttribute1">
    <w:name w:val="ParaAttribute1"/>
    <w:rsid w:val="00580F80"/>
    <w:pPr>
      <w:tabs>
        <w:tab w:val="center" w:pos="4536"/>
        <w:tab w:val="right" w:pos="9072"/>
      </w:tabs>
      <w:spacing w:after="0" w:line="240" w:lineRule="auto"/>
      <w:jc w:val="center"/>
    </w:pPr>
    <w:rPr>
      <w:rFonts w:ascii="Times New Roman" w:eastAsia="Batang" w:hAnsi="Times New Roman" w:cs="Times New Roman"/>
      <w:sz w:val="20"/>
      <w:szCs w:val="20"/>
    </w:rPr>
  </w:style>
  <w:style w:type="paragraph" w:customStyle="1" w:styleId="ParaAttribute2">
    <w:name w:val="ParaAttribute2"/>
    <w:rsid w:val="00580F80"/>
    <w:pPr>
      <w:tabs>
        <w:tab w:val="center" w:pos="4536"/>
        <w:tab w:val="right" w:pos="9072"/>
      </w:tabs>
      <w:spacing w:after="0" w:line="240" w:lineRule="auto"/>
    </w:pPr>
    <w:rPr>
      <w:rFonts w:ascii="Times New Roman" w:eastAsia="Batang" w:hAnsi="Times New Roman" w:cs="Times New Roman"/>
      <w:sz w:val="20"/>
      <w:szCs w:val="20"/>
    </w:rPr>
  </w:style>
  <w:style w:type="paragraph" w:customStyle="1" w:styleId="ParaAttribute4">
    <w:name w:val="ParaAttribute4"/>
    <w:rsid w:val="00580F80"/>
    <w:pPr>
      <w:spacing w:line="240" w:lineRule="auto"/>
      <w:ind w:left="1080" w:hanging="720"/>
    </w:pPr>
    <w:rPr>
      <w:rFonts w:ascii="Times New Roman" w:eastAsia="Batang" w:hAnsi="Times New Roman" w:cs="Times New Roman"/>
      <w:sz w:val="20"/>
      <w:szCs w:val="20"/>
    </w:rPr>
  </w:style>
  <w:style w:type="paragraph" w:customStyle="1" w:styleId="ParaAttribute6">
    <w:name w:val="ParaAttribute6"/>
    <w:rsid w:val="00580F80"/>
    <w:pPr>
      <w:spacing w:line="240" w:lineRule="auto"/>
      <w:ind w:left="720" w:hanging="360"/>
    </w:pPr>
    <w:rPr>
      <w:rFonts w:ascii="Times New Roman" w:eastAsia="Batang" w:hAnsi="Times New Roman" w:cs="Times New Roman"/>
      <w:sz w:val="20"/>
      <w:szCs w:val="20"/>
    </w:rPr>
  </w:style>
  <w:style w:type="paragraph" w:customStyle="1" w:styleId="ParaAttribute7">
    <w:name w:val="ParaAttribute7"/>
    <w:rsid w:val="00580F80"/>
    <w:pPr>
      <w:spacing w:line="240" w:lineRule="auto"/>
      <w:ind w:left="1440" w:hanging="360"/>
    </w:pPr>
    <w:rPr>
      <w:rFonts w:ascii="Times New Roman" w:eastAsia="Batang" w:hAnsi="Times New Roman" w:cs="Times New Roman"/>
      <w:sz w:val="20"/>
      <w:szCs w:val="20"/>
    </w:rPr>
  </w:style>
  <w:style w:type="paragraph" w:customStyle="1" w:styleId="ParaAttribute8">
    <w:name w:val="ParaAttribute8"/>
    <w:rsid w:val="00580F80"/>
    <w:pPr>
      <w:spacing w:line="240" w:lineRule="auto"/>
      <w:ind w:left="360"/>
    </w:pPr>
    <w:rPr>
      <w:rFonts w:ascii="Times New Roman" w:eastAsia="Batang" w:hAnsi="Times New Roman" w:cs="Times New Roman"/>
      <w:sz w:val="20"/>
      <w:szCs w:val="20"/>
    </w:rPr>
  </w:style>
  <w:style w:type="paragraph" w:customStyle="1" w:styleId="ParaAttribute9">
    <w:name w:val="ParaAttribute9"/>
    <w:rsid w:val="00580F80"/>
    <w:pPr>
      <w:spacing w:before="120" w:after="120" w:line="240" w:lineRule="auto"/>
      <w:jc w:val="both"/>
    </w:pPr>
    <w:rPr>
      <w:rFonts w:ascii="Times New Roman" w:eastAsia="Batang" w:hAnsi="Times New Roman" w:cs="Times New Roman"/>
      <w:sz w:val="20"/>
      <w:szCs w:val="20"/>
    </w:rPr>
  </w:style>
  <w:style w:type="paragraph" w:customStyle="1" w:styleId="ParaAttribute10">
    <w:name w:val="ParaAttribute10"/>
    <w:rsid w:val="00580F80"/>
    <w:pPr>
      <w:spacing w:before="120" w:after="120" w:line="240" w:lineRule="auto"/>
      <w:ind w:hanging="284"/>
      <w:jc w:val="both"/>
    </w:pPr>
    <w:rPr>
      <w:rFonts w:ascii="Times New Roman" w:eastAsia="Batang" w:hAnsi="Times New Roman" w:cs="Times New Roman"/>
      <w:sz w:val="20"/>
      <w:szCs w:val="20"/>
    </w:rPr>
  </w:style>
  <w:style w:type="paragraph" w:customStyle="1" w:styleId="ParaAttribute11">
    <w:name w:val="ParaAttribute11"/>
    <w:rsid w:val="00580F80"/>
    <w:pPr>
      <w:spacing w:line="240" w:lineRule="auto"/>
      <w:ind w:right="-337"/>
      <w:jc w:val="both"/>
    </w:pPr>
    <w:rPr>
      <w:rFonts w:ascii="Times New Roman" w:eastAsia="Batang" w:hAnsi="Times New Roman" w:cs="Times New Roman"/>
      <w:sz w:val="20"/>
      <w:szCs w:val="20"/>
    </w:rPr>
  </w:style>
  <w:style w:type="paragraph" w:customStyle="1" w:styleId="ParaAttribute12">
    <w:name w:val="ParaAttribute12"/>
    <w:rsid w:val="00580F80"/>
    <w:pPr>
      <w:spacing w:line="240" w:lineRule="auto"/>
    </w:pPr>
    <w:rPr>
      <w:rFonts w:ascii="Times New Roman" w:eastAsia="Batang" w:hAnsi="Times New Roman" w:cs="Times New Roman"/>
      <w:sz w:val="20"/>
      <w:szCs w:val="20"/>
    </w:rPr>
  </w:style>
  <w:style w:type="paragraph" w:customStyle="1" w:styleId="ParaAttribute13">
    <w:name w:val="ParaAttribute13"/>
    <w:rsid w:val="00580F80"/>
    <w:pPr>
      <w:spacing w:line="240" w:lineRule="auto"/>
    </w:pPr>
    <w:rPr>
      <w:rFonts w:ascii="Times New Roman" w:eastAsia="Batang" w:hAnsi="Times New Roman" w:cs="Times New Roman"/>
      <w:sz w:val="20"/>
      <w:szCs w:val="20"/>
    </w:rPr>
  </w:style>
  <w:style w:type="paragraph" w:customStyle="1" w:styleId="ParaAttribute14">
    <w:name w:val="ParaAttribute14"/>
    <w:rsid w:val="00580F80"/>
    <w:pPr>
      <w:spacing w:after="0" w:line="240" w:lineRule="auto"/>
    </w:pPr>
    <w:rPr>
      <w:rFonts w:ascii="Times New Roman" w:eastAsia="Batang" w:hAnsi="Times New Roman" w:cs="Times New Roman"/>
      <w:sz w:val="20"/>
      <w:szCs w:val="20"/>
    </w:rPr>
  </w:style>
  <w:style w:type="paragraph" w:customStyle="1" w:styleId="ParaAttribute15">
    <w:name w:val="ParaAttribute15"/>
    <w:rsid w:val="00580F80"/>
    <w:pPr>
      <w:spacing w:after="0" w:line="240" w:lineRule="auto"/>
      <w:jc w:val="right"/>
    </w:pPr>
    <w:rPr>
      <w:rFonts w:ascii="Times New Roman" w:eastAsia="Batang" w:hAnsi="Times New Roman" w:cs="Times New Roman"/>
      <w:sz w:val="20"/>
      <w:szCs w:val="20"/>
    </w:rPr>
  </w:style>
  <w:style w:type="paragraph" w:customStyle="1" w:styleId="ParaAttribute16">
    <w:name w:val="ParaAttribute16"/>
    <w:rsid w:val="00580F80"/>
    <w:pPr>
      <w:spacing w:line="240" w:lineRule="auto"/>
      <w:ind w:left="55"/>
    </w:pPr>
    <w:rPr>
      <w:rFonts w:ascii="Times New Roman" w:eastAsia="Batang" w:hAnsi="Times New Roman" w:cs="Times New Roman"/>
      <w:sz w:val="20"/>
      <w:szCs w:val="20"/>
    </w:rPr>
  </w:style>
  <w:style w:type="paragraph" w:customStyle="1" w:styleId="ParaAttribute17">
    <w:name w:val="ParaAttribute17"/>
    <w:rsid w:val="00580F80"/>
    <w:pPr>
      <w:spacing w:after="0" w:line="240" w:lineRule="auto"/>
      <w:ind w:left="720" w:hanging="360"/>
      <w:jc w:val="both"/>
    </w:pPr>
    <w:rPr>
      <w:rFonts w:ascii="Times New Roman" w:eastAsia="Batang" w:hAnsi="Times New Roman" w:cs="Times New Roman"/>
      <w:sz w:val="20"/>
      <w:szCs w:val="20"/>
    </w:rPr>
  </w:style>
  <w:style w:type="paragraph" w:customStyle="1" w:styleId="ParaAttribute18">
    <w:name w:val="ParaAttribute18"/>
    <w:rsid w:val="00580F80"/>
    <w:pPr>
      <w:spacing w:before="120" w:after="0" w:line="240" w:lineRule="auto"/>
      <w:jc w:val="both"/>
    </w:pPr>
    <w:rPr>
      <w:rFonts w:ascii="Times New Roman" w:eastAsia="Batang" w:hAnsi="Times New Roman" w:cs="Times New Roman"/>
      <w:sz w:val="20"/>
      <w:szCs w:val="20"/>
    </w:rPr>
  </w:style>
  <w:style w:type="paragraph" w:customStyle="1" w:styleId="ParaAttribute19">
    <w:name w:val="ParaAttribute19"/>
    <w:rsid w:val="00580F80"/>
    <w:pPr>
      <w:spacing w:before="120" w:after="0" w:line="240" w:lineRule="auto"/>
      <w:ind w:left="720" w:hanging="360"/>
      <w:jc w:val="both"/>
    </w:pPr>
    <w:rPr>
      <w:rFonts w:ascii="Times New Roman" w:eastAsia="Batang" w:hAnsi="Times New Roman" w:cs="Times New Roman"/>
      <w:sz w:val="20"/>
      <w:szCs w:val="20"/>
    </w:rPr>
  </w:style>
  <w:style w:type="paragraph" w:customStyle="1" w:styleId="ParaAttribute20">
    <w:name w:val="ParaAttribute20"/>
    <w:rsid w:val="00580F80"/>
    <w:pPr>
      <w:tabs>
        <w:tab w:val="left" w:pos="720"/>
      </w:tabs>
      <w:spacing w:before="120" w:after="0" w:line="240" w:lineRule="auto"/>
      <w:ind w:left="720" w:hanging="360"/>
      <w:jc w:val="both"/>
    </w:pPr>
    <w:rPr>
      <w:rFonts w:ascii="Times New Roman" w:eastAsia="Batang" w:hAnsi="Times New Roman" w:cs="Times New Roman"/>
      <w:sz w:val="20"/>
      <w:szCs w:val="20"/>
    </w:rPr>
  </w:style>
  <w:style w:type="paragraph" w:customStyle="1" w:styleId="ParaAttribute21">
    <w:name w:val="ParaAttribute21"/>
    <w:rsid w:val="00580F80"/>
    <w:pPr>
      <w:spacing w:before="120" w:after="0" w:line="240" w:lineRule="auto"/>
      <w:ind w:left="720" w:hanging="360"/>
      <w:jc w:val="both"/>
    </w:pPr>
    <w:rPr>
      <w:rFonts w:ascii="Times New Roman" w:eastAsia="Batang" w:hAnsi="Times New Roman" w:cs="Times New Roman"/>
      <w:sz w:val="20"/>
      <w:szCs w:val="20"/>
    </w:rPr>
  </w:style>
  <w:style w:type="paragraph" w:customStyle="1" w:styleId="ParaAttribute22">
    <w:name w:val="ParaAttribute22"/>
    <w:rsid w:val="00580F80"/>
    <w:pPr>
      <w:spacing w:before="120" w:after="120" w:line="360" w:lineRule="exact"/>
      <w:ind w:left="720" w:hanging="360"/>
      <w:jc w:val="both"/>
    </w:pPr>
    <w:rPr>
      <w:rFonts w:ascii="Times New Roman" w:eastAsia="Batang" w:hAnsi="Times New Roman" w:cs="Times New Roman"/>
      <w:sz w:val="20"/>
      <w:szCs w:val="20"/>
    </w:rPr>
  </w:style>
  <w:style w:type="paragraph" w:customStyle="1" w:styleId="ParaAttribute23">
    <w:name w:val="ParaAttribute23"/>
    <w:rsid w:val="00580F80"/>
    <w:pPr>
      <w:spacing w:line="240" w:lineRule="auto"/>
      <w:ind w:left="708"/>
    </w:pPr>
    <w:rPr>
      <w:rFonts w:ascii="Times New Roman" w:eastAsia="Batang" w:hAnsi="Times New Roman" w:cs="Times New Roman"/>
      <w:sz w:val="20"/>
      <w:szCs w:val="20"/>
    </w:rPr>
  </w:style>
  <w:style w:type="paragraph" w:customStyle="1" w:styleId="ParaAttribute24">
    <w:name w:val="ParaAttribute24"/>
    <w:rsid w:val="00580F80"/>
    <w:pPr>
      <w:spacing w:line="240" w:lineRule="auto"/>
      <w:ind w:firstLine="567"/>
      <w:jc w:val="both"/>
    </w:pPr>
    <w:rPr>
      <w:rFonts w:ascii="Times New Roman" w:eastAsia="Batang" w:hAnsi="Times New Roman" w:cs="Times New Roman"/>
      <w:sz w:val="20"/>
      <w:szCs w:val="20"/>
    </w:rPr>
  </w:style>
  <w:style w:type="paragraph" w:customStyle="1" w:styleId="ParaAttribute25">
    <w:name w:val="ParaAttribute25"/>
    <w:rsid w:val="00580F80"/>
    <w:pPr>
      <w:tabs>
        <w:tab w:val="left" w:pos="1287"/>
      </w:tabs>
      <w:spacing w:after="0" w:line="240" w:lineRule="auto"/>
      <w:ind w:left="1287" w:hanging="360"/>
      <w:jc w:val="both"/>
    </w:pPr>
    <w:rPr>
      <w:rFonts w:ascii="Times New Roman" w:eastAsia="Batang" w:hAnsi="Times New Roman" w:cs="Times New Roman"/>
      <w:sz w:val="20"/>
      <w:szCs w:val="20"/>
    </w:rPr>
  </w:style>
  <w:style w:type="paragraph" w:customStyle="1" w:styleId="ParaAttribute26">
    <w:name w:val="ParaAttribute26"/>
    <w:rsid w:val="00580F80"/>
    <w:pPr>
      <w:spacing w:line="240" w:lineRule="auto"/>
      <w:ind w:firstLine="567"/>
      <w:jc w:val="center"/>
    </w:pPr>
    <w:rPr>
      <w:rFonts w:ascii="Times New Roman" w:eastAsia="Batang" w:hAnsi="Times New Roman" w:cs="Times New Roman"/>
      <w:sz w:val="20"/>
      <w:szCs w:val="20"/>
    </w:rPr>
  </w:style>
  <w:style w:type="paragraph" w:customStyle="1" w:styleId="ParaAttribute27">
    <w:name w:val="ParaAttribute27"/>
    <w:rsid w:val="00580F80"/>
    <w:pPr>
      <w:spacing w:line="240" w:lineRule="auto"/>
      <w:ind w:left="720"/>
    </w:pPr>
    <w:rPr>
      <w:rFonts w:ascii="Times New Roman" w:eastAsia="Batang" w:hAnsi="Times New Roman" w:cs="Times New Roman"/>
      <w:sz w:val="20"/>
      <w:szCs w:val="20"/>
    </w:rPr>
  </w:style>
  <w:style w:type="character" w:customStyle="1" w:styleId="CharAttribute0">
    <w:name w:val="CharAttribute0"/>
    <w:rsid w:val="00580F80"/>
    <w:rPr>
      <w:rFonts w:ascii="Times New Roman" w:eastAsia="Times New Roman"/>
    </w:rPr>
  </w:style>
  <w:style w:type="character" w:customStyle="1" w:styleId="CharAttribute2">
    <w:name w:val="CharAttribute2"/>
    <w:rsid w:val="00580F80"/>
    <w:rPr>
      <w:rFonts w:ascii="Calibri" w:eastAsia="Calibri"/>
      <w:sz w:val="22"/>
    </w:rPr>
  </w:style>
  <w:style w:type="character" w:customStyle="1" w:styleId="CharAttribute5">
    <w:name w:val="CharAttribute5"/>
    <w:rsid w:val="00580F80"/>
    <w:rPr>
      <w:rFonts w:ascii="Arial" w:eastAsia="Calibri"/>
      <w:sz w:val="24"/>
    </w:rPr>
  </w:style>
  <w:style w:type="character" w:customStyle="1" w:styleId="CharAttribute8">
    <w:name w:val="CharAttribute8"/>
    <w:rsid w:val="00580F80"/>
    <w:rPr>
      <w:rFonts w:ascii="Wingdings" w:eastAsia="Calibri"/>
      <w:sz w:val="24"/>
    </w:rPr>
  </w:style>
  <w:style w:type="character" w:customStyle="1" w:styleId="CharAttribute9">
    <w:name w:val="CharAttribute9"/>
    <w:rsid w:val="00580F80"/>
    <w:rPr>
      <w:rFonts w:ascii="Wingdings" w:eastAsia="Calibri"/>
      <w:sz w:val="24"/>
    </w:rPr>
  </w:style>
  <w:style w:type="character" w:customStyle="1" w:styleId="CharAttribute10">
    <w:name w:val="CharAttribute10"/>
    <w:rsid w:val="00580F80"/>
    <w:rPr>
      <w:rFonts w:ascii="Courier New" w:eastAsia="Calibri"/>
      <w:sz w:val="24"/>
    </w:rPr>
  </w:style>
  <w:style w:type="character" w:customStyle="1" w:styleId="CharAttribute11">
    <w:name w:val="CharAttribute11"/>
    <w:rsid w:val="00580F80"/>
    <w:rPr>
      <w:rFonts w:ascii="Courier New" w:eastAsia="Calibri"/>
      <w:sz w:val="24"/>
    </w:rPr>
  </w:style>
  <w:style w:type="character" w:customStyle="1" w:styleId="CharAttribute12">
    <w:name w:val="CharAttribute12"/>
    <w:rsid w:val="00580F80"/>
    <w:rPr>
      <w:rFonts w:ascii="Symbol" w:eastAsia="Calibri"/>
      <w:sz w:val="23"/>
    </w:rPr>
  </w:style>
  <w:style w:type="character" w:customStyle="1" w:styleId="CharAttribute13">
    <w:name w:val="CharAttribute13"/>
    <w:rsid w:val="00580F80"/>
    <w:rPr>
      <w:rFonts w:ascii="Symbol" w:eastAsia="Calibri"/>
      <w:sz w:val="23"/>
    </w:rPr>
  </w:style>
  <w:style w:type="character" w:customStyle="1" w:styleId="CharAttribute14">
    <w:name w:val="CharAttribute14"/>
    <w:rsid w:val="00580F80"/>
    <w:rPr>
      <w:rFonts w:ascii="Times New Roman" w:eastAsia="Batang"/>
      <w:sz w:val="24"/>
    </w:rPr>
  </w:style>
  <w:style w:type="character" w:customStyle="1" w:styleId="CharAttribute15">
    <w:name w:val="CharAttribute15"/>
    <w:rsid w:val="00580F80"/>
    <w:rPr>
      <w:rFonts w:ascii="Times New Roman" w:eastAsia="Times New Roman"/>
    </w:rPr>
  </w:style>
  <w:style w:type="character" w:customStyle="1" w:styleId="CharAttribute16">
    <w:name w:val="CharAttribute16"/>
    <w:rsid w:val="00580F80"/>
    <w:rPr>
      <w:rFonts w:ascii="Arial" w:eastAsia="Calibri"/>
      <w:sz w:val="22"/>
    </w:rPr>
  </w:style>
  <w:style w:type="character" w:customStyle="1" w:styleId="CharAttribute17">
    <w:name w:val="CharAttribute17"/>
    <w:rsid w:val="00580F80"/>
    <w:rPr>
      <w:rFonts w:ascii="Arial" w:eastAsia="Calibri"/>
      <w:sz w:val="22"/>
    </w:rPr>
  </w:style>
  <w:style w:type="character" w:customStyle="1" w:styleId="CharAttribute18">
    <w:name w:val="CharAttribute18"/>
    <w:rsid w:val="00580F80"/>
    <w:rPr>
      <w:rFonts w:ascii="Arial Narrow" w:eastAsia="Calibri"/>
      <w:sz w:val="22"/>
    </w:rPr>
  </w:style>
  <w:style w:type="character" w:customStyle="1" w:styleId="CharAttribute19">
    <w:name w:val="CharAttribute19"/>
    <w:rsid w:val="00580F80"/>
    <w:rPr>
      <w:rFonts w:ascii="Arial Narrow" w:eastAsia="Calibri"/>
      <w:sz w:val="22"/>
    </w:rPr>
  </w:style>
  <w:style w:type="character" w:customStyle="1" w:styleId="CharAttribute20">
    <w:name w:val="CharAttribute20"/>
    <w:rsid w:val="00580F80"/>
    <w:rPr>
      <w:rFonts w:ascii="Arial" w:eastAsia="Times New Roman"/>
    </w:rPr>
  </w:style>
  <w:style w:type="character" w:customStyle="1" w:styleId="CharAttribute21">
    <w:name w:val="CharAttribute21"/>
    <w:rsid w:val="00580F80"/>
    <w:rPr>
      <w:rFonts w:ascii="Arial" w:eastAsia="Times New Roman"/>
      <w:i/>
    </w:rPr>
  </w:style>
  <w:style w:type="character" w:customStyle="1" w:styleId="CharAttribute22">
    <w:name w:val="CharAttribute22"/>
    <w:rsid w:val="00580F80"/>
    <w:rPr>
      <w:rFonts w:ascii="Arial" w:eastAsia="Times New Roman"/>
      <w:b/>
    </w:rPr>
  </w:style>
  <w:style w:type="character" w:customStyle="1" w:styleId="CharAttribute23">
    <w:name w:val="CharAttribute23"/>
    <w:rsid w:val="00580F80"/>
    <w:rPr>
      <w:rFonts w:ascii="Arial" w:eastAsia="Calibri"/>
      <w:sz w:val="24"/>
    </w:rPr>
  </w:style>
  <w:style w:type="character" w:customStyle="1" w:styleId="CharAttribute24">
    <w:name w:val="CharAttribute24"/>
    <w:rsid w:val="00580F80"/>
    <w:rPr>
      <w:rFonts w:ascii="Times New Roman" w:eastAsia="Times New Roman"/>
    </w:rPr>
  </w:style>
  <w:style w:type="character" w:customStyle="1" w:styleId="CharAttribute25">
    <w:name w:val="CharAttribute25"/>
    <w:rsid w:val="00580F80"/>
    <w:rPr>
      <w:rFonts w:ascii="Times New Roman" w:eastAsia="Times New Roman"/>
    </w:rPr>
  </w:style>
  <w:style w:type="character" w:customStyle="1" w:styleId="CharAttribute26">
    <w:name w:val="CharAttribute26"/>
    <w:rsid w:val="00580F80"/>
    <w:rPr>
      <w:rFonts w:ascii="Times New Roman" w:eastAsia="Calibri"/>
      <w:sz w:val="26"/>
    </w:rPr>
  </w:style>
  <w:style w:type="character" w:customStyle="1" w:styleId="CharAttribute27">
    <w:name w:val="CharAttribute27"/>
    <w:rsid w:val="00580F80"/>
    <w:rPr>
      <w:rFonts w:ascii="Symbol" w:eastAsia="Calibri"/>
      <w:sz w:val="26"/>
    </w:rPr>
  </w:style>
  <w:style w:type="character" w:customStyle="1" w:styleId="CharAttribute28">
    <w:name w:val="CharAttribute28"/>
    <w:rsid w:val="00580F80"/>
    <w:rPr>
      <w:rFonts w:ascii="Symbol" w:eastAsia="Calibri"/>
      <w:sz w:val="26"/>
    </w:rPr>
  </w:style>
  <w:style w:type="character" w:customStyle="1" w:styleId="CharAttribute29">
    <w:name w:val="CharAttribute29"/>
    <w:rsid w:val="00580F80"/>
    <w:rPr>
      <w:rFonts w:ascii="Arial" w:eastAsia="Calibri"/>
      <w:sz w:val="26"/>
    </w:rPr>
  </w:style>
  <w:style w:type="character" w:customStyle="1" w:styleId="CharAttribute30">
    <w:name w:val="CharAttribute30"/>
    <w:rsid w:val="00580F80"/>
    <w:rPr>
      <w:rFonts w:ascii="Arial" w:eastAsia="Calibri"/>
      <w:sz w:val="26"/>
    </w:rPr>
  </w:style>
  <w:style w:type="character" w:customStyle="1" w:styleId="CharAttribute31">
    <w:name w:val="CharAttribute31"/>
    <w:rsid w:val="00580F80"/>
    <w:rPr>
      <w:rFonts w:ascii="Times New Roman" w:eastAsia="Calibri"/>
      <w:sz w:val="24"/>
    </w:rPr>
  </w:style>
  <w:style w:type="character" w:customStyle="1" w:styleId="CharAttribute32">
    <w:name w:val="CharAttribute32"/>
    <w:rsid w:val="00580F80"/>
    <w:rPr>
      <w:rFonts w:ascii="Times New Roman" w:eastAsia="Calibri"/>
      <w:sz w:val="24"/>
    </w:rPr>
  </w:style>
  <w:style w:type="character" w:customStyle="1" w:styleId="CharAttribute33">
    <w:name w:val="CharAttribute33"/>
    <w:rsid w:val="00580F80"/>
    <w:rPr>
      <w:rFonts w:ascii="Symbol" w:eastAsia="Calibri"/>
      <w:sz w:val="24"/>
    </w:rPr>
  </w:style>
  <w:style w:type="character" w:customStyle="1" w:styleId="CharAttribute34">
    <w:name w:val="CharAttribute34"/>
    <w:rsid w:val="00580F80"/>
    <w:rPr>
      <w:rFonts w:ascii="Symbol" w:eastAsia="Calibri"/>
      <w:sz w:val="24"/>
    </w:rPr>
  </w:style>
  <w:style w:type="character" w:customStyle="1" w:styleId="CharAttribute35">
    <w:name w:val="CharAttribute35"/>
    <w:rsid w:val="00580F80"/>
    <w:rPr>
      <w:rFonts w:ascii="Arial" w:eastAsia="Calibri"/>
      <w:sz w:val="24"/>
      <w:vertAlign w:val="superscript"/>
    </w:rPr>
  </w:style>
  <w:style w:type="character" w:customStyle="1" w:styleId="CharAttribute36">
    <w:name w:val="CharAttribute36"/>
    <w:rsid w:val="00580F80"/>
    <w:rPr>
      <w:rFonts w:ascii="Arial" w:eastAsia="Calibri"/>
      <w:i/>
      <w:sz w:val="24"/>
    </w:rPr>
  </w:style>
  <w:style w:type="character" w:customStyle="1" w:styleId="CharAttribute37">
    <w:name w:val="CharAttribute37"/>
    <w:rsid w:val="00580F80"/>
    <w:rPr>
      <w:rFonts w:ascii="Times New Roman" w:eastAsia="Times New Roman"/>
      <w:sz w:val="24"/>
    </w:rPr>
  </w:style>
  <w:style w:type="paragraph" w:customStyle="1" w:styleId="A0E349F008B644AAB6A282E0D042D17E">
    <w:name w:val="A0E349F008B644AAB6A282E0D042D17E"/>
    <w:rsid w:val="00580F80"/>
    <w:rPr>
      <w:lang w:val="en-US" w:eastAsia="ja-JP"/>
    </w:rPr>
  </w:style>
  <w:style w:type="paragraph" w:styleId="PlainText">
    <w:name w:val="Plain Text"/>
    <w:basedOn w:val="Normal"/>
    <w:link w:val="PlainTextChar"/>
    <w:uiPriority w:val="99"/>
    <w:semiHidden/>
    <w:unhideWhenUsed/>
    <w:rsid w:val="00950BDF"/>
    <w:pPr>
      <w:spacing w:after="0" w:line="240" w:lineRule="auto"/>
    </w:pPr>
    <w:rPr>
      <w:rFonts w:ascii="Calibri" w:eastAsia="Calibri" w:hAnsi="Calibri" w:cs="Times New Roman"/>
      <w:sz w:val="20"/>
      <w:szCs w:val="21"/>
    </w:rPr>
  </w:style>
  <w:style w:type="character" w:customStyle="1" w:styleId="PlainTextChar">
    <w:name w:val="Plain Text Char"/>
    <w:basedOn w:val="DefaultParagraphFont"/>
    <w:link w:val="PlainText"/>
    <w:uiPriority w:val="99"/>
    <w:semiHidden/>
    <w:rsid w:val="00950BDF"/>
    <w:rPr>
      <w:rFonts w:ascii="Calibri" w:eastAsia="Calibri" w:hAnsi="Calibri" w:cs="Times New Roman"/>
      <w:sz w:val="20"/>
      <w:szCs w:val="21"/>
    </w:rPr>
  </w:style>
  <w:style w:type="paragraph" w:customStyle="1" w:styleId="font5">
    <w:name w:val="font5"/>
    <w:basedOn w:val="Normal"/>
    <w:rsid w:val="00950BDF"/>
    <w:pPr>
      <w:spacing w:before="100" w:beforeAutospacing="1" w:after="100" w:afterAutospacing="1" w:line="240" w:lineRule="auto"/>
    </w:pPr>
    <w:rPr>
      <w:rFonts w:ascii="Times New Roman" w:eastAsia="Times New Roman" w:hAnsi="Times New Roman" w:cs="Times New Roman"/>
      <w:i/>
      <w:iCs/>
      <w:color w:val="000000"/>
      <w:sz w:val="20"/>
      <w:szCs w:val="20"/>
    </w:rPr>
  </w:style>
  <w:style w:type="paragraph" w:customStyle="1" w:styleId="xl68">
    <w:name w:val="xl68"/>
    <w:basedOn w:val="Normal"/>
    <w:rsid w:val="00950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950BD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0">
    <w:name w:val="xl70"/>
    <w:basedOn w:val="Normal"/>
    <w:rsid w:val="00950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950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950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950BDF"/>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4">
    <w:name w:val="xl74"/>
    <w:basedOn w:val="Normal"/>
    <w:rsid w:val="00950BD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Normal"/>
    <w:rsid w:val="00950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6">
    <w:name w:val="xl76"/>
    <w:basedOn w:val="Normal"/>
    <w:rsid w:val="00950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7">
    <w:name w:val="xl77"/>
    <w:basedOn w:val="Normal"/>
    <w:rsid w:val="00950B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8">
    <w:name w:val="xl78"/>
    <w:basedOn w:val="Normal"/>
    <w:rsid w:val="00950B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9">
    <w:name w:val="xl79"/>
    <w:basedOn w:val="Normal"/>
    <w:rsid w:val="00950B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0">
    <w:name w:val="xl80"/>
    <w:basedOn w:val="Normal"/>
    <w:rsid w:val="00950BDF"/>
    <w:pPr>
      <w:pBdr>
        <w:top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950B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2">
    <w:name w:val="xl82"/>
    <w:basedOn w:val="Normal"/>
    <w:rsid w:val="00950B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3">
    <w:name w:val="xl83"/>
    <w:basedOn w:val="Normal"/>
    <w:rsid w:val="00950BDF"/>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4">
    <w:name w:val="xl84"/>
    <w:basedOn w:val="Normal"/>
    <w:rsid w:val="00950BDF"/>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5">
    <w:name w:val="xl85"/>
    <w:basedOn w:val="Normal"/>
    <w:rsid w:val="00950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6">
    <w:name w:val="xl86"/>
    <w:basedOn w:val="Normal"/>
    <w:rsid w:val="00950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7">
    <w:name w:val="xl87"/>
    <w:basedOn w:val="Normal"/>
    <w:rsid w:val="00950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8">
    <w:name w:val="xl88"/>
    <w:basedOn w:val="Normal"/>
    <w:rsid w:val="00950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89">
    <w:name w:val="xl89"/>
    <w:basedOn w:val="Normal"/>
    <w:rsid w:val="00950BD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0">
    <w:name w:val="xl90"/>
    <w:basedOn w:val="Normal"/>
    <w:rsid w:val="00950B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1">
    <w:name w:val="xl91"/>
    <w:basedOn w:val="Normal"/>
    <w:rsid w:val="00950BD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2">
    <w:name w:val="xl92"/>
    <w:basedOn w:val="Normal"/>
    <w:rsid w:val="00950B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3">
    <w:name w:val="xl93"/>
    <w:basedOn w:val="Normal"/>
    <w:rsid w:val="00950BD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950B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5">
    <w:name w:val="xl95"/>
    <w:basedOn w:val="Normal"/>
    <w:rsid w:val="00950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6">
    <w:name w:val="xl96"/>
    <w:basedOn w:val="Normal"/>
    <w:rsid w:val="00950BD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7">
    <w:name w:val="xl97"/>
    <w:basedOn w:val="Normal"/>
    <w:rsid w:val="00950BD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98">
    <w:name w:val="xl98"/>
    <w:basedOn w:val="Normal"/>
    <w:rsid w:val="00950BD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9">
    <w:name w:val="xl99"/>
    <w:basedOn w:val="Normal"/>
    <w:rsid w:val="00950BD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0">
    <w:name w:val="xl100"/>
    <w:basedOn w:val="Normal"/>
    <w:rsid w:val="00950BD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1">
    <w:name w:val="xl101"/>
    <w:basedOn w:val="Normal"/>
    <w:rsid w:val="00950BD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2">
    <w:name w:val="xl102"/>
    <w:basedOn w:val="Normal"/>
    <w:rsid w:val="00950B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3">
    <w:name w:val="xl103"/>
    <w:basedOn w:val="Normal"/>
    <w:rsid w:val="00950BDF"/>
    <w:pPr>
      <w:pBdr>
        <w:left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4">
    <w:name w:val="xl104"/>
    <w:basedOn w:val="Normal"/>
    <w:rsid w:val="00950B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5">
    <w:name w:val="xl105"/>
    <w:basedOn w:val="Normal"/>
    <w:rsid w:val="00950B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6">
    <w:name w:val="xl106"/>
    <w:basedOn w:val="Normal"/>
    <w:rsid w:val="00950BD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7">
    <w:name w:val="xl107"/>
    <w:basedOn w:val="Normal"/>
    <w:rsid w:val="00950BD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character" w:customStyle="1" w:styleId="samedocreference">
    <w:name w:val="samedocreference"/>
    <w:basedOn w:val="DefaultParagraphFont"/>
    <w:rsid w:val="00950BDF"/>
  </w:style>
  <w:style w:type="paragraph" w:styleId="TOCHeading">
    <w:name w:val="TOC Heading"/>
    <w:basedOn w:val="Heading1"/>
    <w:next w:val="Normal"/>
    <w:uiPriority w:val="39"/>
    <w:unhideWhenUsed/>
    <w:qFormat/>
    <w:rsid w:val="00950BDF"/>
    <w:pPr>
      <w:keepLines/>
      <w:spacing w:before="480" w:after="0" w:line="276" w:lineRule="auto"/>
      <w:outlineLvl w:val="9"/>
    </w:pPr>
    <w:rPr>
      <w:rFonts w:ascii="Cambria" w:hAnsi="Cambria"/>
      <w:iCs w:val="0"/>
      <w:color w:val="365F91"/>
      <w:kern w:val="0"/>
      <w:lang w:val="en-US" w:eastAsia="ja-JP"/>
    </w:rPr>
  </w:style>
  <w:style w:type="paragraph" w:styleId="TOC2">
    <w:name w:val="toc 2"/>
    <w:basedOn w:val="Normal"/>
    <w:next w:val="Normal"/>
    <w:autoRedefine/>
    <w:uiPriority w:val="39"/>
    <w:unhideWhenUsed/>
    <w:rsid w:val="00950BDF"/>
    <w:pPr>
      <w:spacing w:before="120" w:after="0"/>
      <w:ind w:left="220"/>
    </w:pPr>
    <w:rPr>
      <w:rFonts w:cstheme="minorHAnsi"/>
      <w:b/>
      <w:bCs/>
    </w:rPr>
  </w:style>
  <w:style w:type="paragraph" w:styleId="TOC3">
    <w:name w:val="toc 3"/>
    <w:basedOn w:val="Normal"/>
    <w:next w:val="Normal"/>
    <w:autoRedefine/>
    <w:uiPriority w:val="39"/>
    <w:unhideWhenUsed/>
    <w:rsid w:val="00950BDF"/>
    <w:pPr>
      <w:spacing w:after="0"/>
      <w:ind w:left="440"/>
    </w:pPr>
    <w:rPr>
      <w:rFonts w:cstheme="minorHAnsi"/>
      <w:sz w:val="20"/>
      <w:szCs w:val="20"/>
    </w:rPr>
  </w:style>
  <w:style w:type="paragraph" w:styleId="TOC4">
    <w:name w:val="toc 4"/>
    <w:basedOn w:val="Normal"/>
    <w:next w:val="Normal"/>
    <w:autoRedefine/>
    <w:uiPriority w:val="39"/>
    <w:unhideWhenUsed/>
    <w:rsid w:val="00950BDF"/>
    <w:pPr>
      <w:spacing w:after="0"/>
      <w:ind w:left="660"/>
    </w:pPr>
    <w:rPr>
      <w:rFonts w:cstheme="minorHAnsi"/>
      <w:sz w:val="20"/>
      <w:szCs w:val="20"/>
    </w:rPr>
  </w:style>
  <w:style w:type="paragraph" w:styleId="TOC5">
    <w:name w:val="toc 5"/>
    <w:basedOn w:val="Normal"/>
    <w:next w:val="Normal"/>
    <w:autoRedefine/>
    <w:uiPriority w:val="39"/>
    <w:unhideWhenUsed/>
    <w:rsid w:val="00950BDF"/>
    <w:pPr>
      <w:spacing w:after="0"/>
      <w:ind w:left="880"/>
    </w:pPr>
    <w:rPr>
      <w:rFonts w:cstheme="minorHAnsi"/>
      <w:sz w:val="20"/>
      <w:szCs w:val="20"/>
    </w:rPr>
  </w:style>
  <w:style w:type="paragraph" w:styleId="TOC6">
    <w:name w:val="toc 6"/>
    <w:basedOn w:val="Normal"/>
    <w:next w:val="Normal"/>
    <w:autoRedefine/>
    <w:uiPriority w:val="39"/>
    <w:unhideWhenUsed/>
    <w:rsid w:val="00950BDF"/>
    <w:pPr>
      <w:spacing w:after="0"/>
      <w:ind w:left="1100"/>
    </w:pPr>
    <w:rPr>
      <w:rFonts w:cstheme="minorHAnsi"/>
      <w:sz w:val="20"/>
      <w:szCs w:val="20"/>
    </w:rPr>
  </w:style>
  <w:style w:type="paragraph" w:styleId="TOC7">
    <w:name w:val="toc 7"/>
    <w:basedOn w:val="Normal"/>
    <w:next w:val="Normal"/>
    <w:autoRedefine/>
    <w:uiPriority w:val="39"/>
    <w:unhideWhenUsed/>
    <w:rsid w:val="00950BDF"/>
    <w:pPr>
      <w:spacing w:after="0"/>
      <w:ind w:left="1320"/>
    </w:pPr>
    <w:rPr>
      <w:rFonts w:cstheme="minorHAnsi"/>
      <w:sz w:val="20"/>
      <w:szCs w:val="20"/>
    </w:rPr>
  </w:style>
  <w:style w:type="paragraph" w:styleId="TOC8">
    <w:name w:val="toc 8"/>
    <w:basedOn w:val="Normal"/>
    <w:next w:val="Normal"/>
    <w:autoRedefine/>
    <w:uiPriority w:val="39"/>
    <w:unhideWhenUsed/>
    <w:rsid w:val="00950BDF"/>
    <w:pPr>
      <w:spacing w:after="0"/>
      <w:ind w:left="1540"/>
    </w:pPr>
    <w:rPr>
      <w:rFonts w:cstheme="minorHAnsi"/>
      <w:sz w:val="20"/>
      <w:szCs w:val="20"/>
    </w:rPr>
  </w:style>
  <w:style w:type="paragraph" w:styleId="TOC9">
    <w:name w:val="toc 9"/>
    <w:basedOn w:val="Normal"/>
    <w:next w:val="Normal"/>
    <w:autoRedefine/>
    <w:uiPriority w:val="39"/>
    <w:unhideWhenUsed/>
    <w:rsid w:val="00950BDF"/>
    <w:pPr>
      <w:spacing w:after="0"/>
      <w:ind w:left="1760"/>
    </w:pPr>
    <w:rPr>
      <w:rFonts w:cstheme="minorHAnsi"/>
      <w:sz w:val="20"/>
      <w:szCs w:val="20"/>
    </w:rPr>
  </w:style>
  <w:style w:type="paragraph" w:styleId="EndnoteText">
    <w:name w:val="endnote text"/>
    <w:basedOn w:val="Normal"/>
    <w:link w:val="EndnoteTextChar"/>
    <w:uiPriority w:val="99"/>
    <w:semiHidden/>
    <w:unhideWhenUsed/>
    <w:rsid w:val="00950BDF"/>
    <w:pPr>
      <w:spacing w:after="120" w:line="240" w:lineRule="auto"/>
      <w:jc w:val="both"/>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semiHidden/>
    <w:rsid w:val="00950BDF"/>
    <w:rPr>
      <w:rFonts w:ascii="Times New Roman" w:eastAsia="Calibri" w:hAnsi="Times New Roman" w:cs="Times New Roman"/>
      <w:sz w:val="20"/>
      <w:szCs w:val="20"/>
    </w:rPr>
  </w:style>
  <w:style w:type="paragraph" w:styleId="TableofFigures">
    <w:name w:val="table of figures"/>
    <w:basedOn w:val="Normal"/>
    <w:next w:val="Normal"/>
    <w:uiPriority w:val="99"/>
    <w:unhideWhenUsed/>
    <w:rsid w:val="00950BDF"/>
    <w:pPr>
      <w:spacing w:after="0" w:line="240" w:lineRule="auto"/>
    </w:pPr>
    <w:rPr>
      <w:rFonts w:ascii="Calibri" w:eastAsia="Calibri" w:hAnsi="Calibri" w:cs="Calibri"/>
      <w:i/>
      <w:iCs/>
      <w:sz w:val="20"/>
      <w:szCs w:val="20"/>
    </w:rPr>
  </w:style>
  <w:style w:type="paragraph" w:styleId="Revision">
    <w:name w:val="Revision"/>
    <w:hidden/>
    <w:uiPriority w:val="99"/>
    <w:semiHidden/>
    <w:rsid w:val="001045DC"/>
    <w:pPr>
      <w:spacing w:after="0" w:line="240" w:lineRule="auto"/>
    </w:pPr>
  </w:style>
  <w:style w:type="character" w:customStyle="1" w:styleId="hps">
    <w:name w:val="hps"/>
    <w:basedOn w:val="DefaultParagraphFont"/>
    <w:rsid w:val="0089539E"/>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link w:val="FootnoteReference"/>
    <w:rsid w:val="00AB3426"/>
    <w:pPr>
      <w:spacing w:after="0" w:line="240" w:lineRule="exact"/>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4470">
      <w:bodyDiv w:val="1"/>
      <w:marLeft w:val="0"/>
      <w:marRight w:val="0"/>
      <w:marTop w:val="0"/>
      <w:marBottom w:val="0"/>
      <w:divBdr>
        <w:top w:val="none" w:sz="0" w:space="0" w:color="auto"/>
        <w:left w:val="none" w:sz="0" w:space="0" w:color="auto"/>
        <w:bottom w:val="none" w:sz="0" w:space="0" w:color="auto"/>
        <w:right w:val="none" w:sz="0" w:space="0" w:color="auto"/>
      </w:divBdr>
      <w:divsChild>
        <w:div w:id="1626933769">
          <w:marLeft w:val="0"/>
          <w:marRight w:val="0"/>
          <w:marTop w:val="0"/>
          <w:marBottom w:val="0"/>
          <w:divBdr>
            <w:top w:val="none" w:sz="0" w:space="0" w:color="auto"/>
            <w:left w:val="none" w:sz="0" w:space="0" w:color="auto"/>
            <w:bottom w:val="none" w:sz="0" w:space="0" w:color="auto"/>
            <w:right w:val="none" w:sz="0" w:space="0" w:color="auto"/>
          </w:divBdr>
        </w:div>
      </w:divsChild>
    </w:div>
    <w:div w:id="386690748">
      <w:bodyDiv w:val="1"/>
      <w:marLeft w:val="0"/>
      <w:marRight w:val="0"/>
      <w:marTop w:val="0"/>
      <w:marBottom w:val="0"/>
      <w:divBdr>
        <w:top w:val="none" w:sz="0" w:space="0" w:color="auto"/>
        <w:left w:val="none" w:sz="0" w:space="0" w:color="auto"/>
        <w:bottom w:val="none" w:sz="0" w:space="0" w:color="auto"/>
        <w:right w:val="none" w:sz="0" w:space="0" w:color="auto"/>
      </w:divBdr>
    </w:div>
    <w:div w:id="487405694">
      <w:bodyDiv w:val="1"/>
      <w:marLeft w:val="0"/>
      <w:marRight w:val="0"/>
      <w:marTop w:val="0"/>
      <w:marBottom w:val="0"/>
      <w:divBdr>
        <w:top w:val="none" w:sz="0" w:space="0" w:color="auto"/>
        <w:left w:val="none" w:sz="0" w:space="0" w:color="auto"/>
        <w:bottom w:val="none" w:sz="0" w:space="0" w:color="auto"/>
        <w:right w:val="none" w:sz="0" w:space="0" w:color="auto"/>
      </w:divBdr>
    </w:div>
    <w:div w:id="783614295">
      <w:bodyDiv w:val="1"/>
      <w:marLeft w:val="0"/>
      <w:marRight w:val="0"/>
      <w:marTop w:val="0"/>
      <w:marBottom w:val="0"/>
      <w:divBdr>
        <w:top w:val="none" w:sz="0" w:space="0" w:color="auto"/>
        <w:left w:val="none" w:sz="0" w:space="0" w:color="auto"/>
        <w:bottom w:val="none" w:sz="0" w:space="0" w:color="auto"/>
        <w:right w:val="none" w:sz="0" w:space="0" w:color="auto"/>
      </w:divBdr>
    </w:div>
    <w:div w:id="1060522397">
      <w:bodyDiv w:val="1"/>
      <w:marLeft w:val="0"/>
      <w:marRight w:val="0"/>
      <w:marTop w:val="0"/>
      <w:marBottom w:val="0"/>
      <w:divBdr>
        <w:top w:val="none" w:sz="0" w:space="0" w:color="auto"/>
        <w:left w:val="none" w:sz="0" w:space="0" w:color="auto"/>
        <w:bottom w:val="none" w:sz="0" w:space="0" w:color="auto"/>
        <w:right w:val="none" w:sz="0" w:space="0" w:color="auto"/>
      </w:divBdr>
    </w:div>
    <w:div w:id="1088887532">
      <w:bodyDiv w:val="1"/>
      <w:marLeft w:val="0"/>
      <w:marRight w:val="0"/>
      <w:marTop w:val="0"/>
      <w:marBottom w:val="0"/>
      <w:divBdr>
        <w:top w:val="none" w:sz="0" w:space="0" w:color="auto"/>
        <w:left w:val="none" w:sz="0" w:space="0" w:color="auto"/>
        <w:bottom w:val="none" w:sz="0" w:space="0" w:color="auto"/>
        <w:right w:val="none" w:sz="0" w:space="0" w:color="auto"/>
      </w:divBdr>
    </w:div>
    <w:div w:id="1295453418">
      <w:bodyDiv w:val="1"/>
      <w:marLeft w:val="0"/>
      <w:marRight w:val="0"/>
      <w:marTop w:val="0"/>
      <w:marBottom w:val="0"/>
      <w:divBdr>
        <w:top w:val="none" w:sz="0" w:space="0" w:color="auto"/>
        <w:left w:val="none" w:sz="0" w:space="0" w:color="auto"/>
        <w:bottom w:val="none" w:sz="0" w:space="0" w:color="auto"/>
        <w:right w:val="none" w:sz="0" w:space="0" w:color="auto"/>
      </w:divBdr>
    </w:div>
    <w:div w:id="204505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32" Type="http://schemas.microsoft.com/office/2016/09/relationships/commentsIds" Target="commentsIds.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chart" Target="charts/chart3.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chart" Target="charts/chart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aa\Dropbox\Energy\Fin-model\Draft%20Model\Final_15_09_2017\grafiki-report_11_09_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aa\Dropbox\Energy\Fin-model\Draft%20Model\Final_15_09_2017\grafiki-report_11_09_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aa\Dropbox\Energy\Fin-model\Draft%20Model\Final_15_09_2017\grafiki-report_11_09_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Lbls>
            <c:spPr>
              <a:noFill/>
              <a:ln>
                <a:noFill/>
              </a:ln>
              <a:effectLst/>
            </c:spPr>
            <c:txPr>
              <a:bodyPr/>
              <a:lstStyle/>
              <a:p>
                <a:pPr>
                  <a:defRPr lang="en-US"/>
                </a:pPr>
                <a:endParaRPr lang="bg-BG"/>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Sheet1!$D$20:$D$28</c:f>
              <c:strCache>
                <c:ptCount val="9"/>
                <c:pt idx="0">
                  <c:v>Персонал </c:v>
                </c:pt>
                <c:pt idx="1">
                  <c:v>Ядрено гориво и реагенти</c:v>
                </c:pt>
                <c:pt idx="2">
                  <c:v>Водоползване</c:v>
                </c:pt>
                <c:pt idx="3">
                  <c:v>Материали (без ядрено гориво) </c:v>
                </c:pt>
                <c:pt idx="4">
                  <c:v>Текущи ремонти</c:v>
                </c:pt>
                <c:pt idx="5">
                  <c:v>Външни услуги (без водоползване и ремонти)</c:v>
                </c:pt>
                <c:pt idx="6">
                  <c:v>Застраховка на имущество и ядрена вреда</c:v>
                </c:pt>
                <c:pt idx="7">
                  <c:v>РАО</c:v>
                </c:pt>
                <c:pt idx="8">
                  <c:v>ИЕЯС</c:v>
                </c:pt>
              </c:strCache>
            </c:strRef>
          </c:cat>
          <c:val>
            <c:numRef>
              <c:f>Sheet1!$E$20:$E$28</c:f>
              <c:numCache>
                <c:formatCode>0.0%</c:formatCode>
                <c:ptCount val="9"/>
                <c:pt idx="0">
                  <c:v>0.15401166159082513</c:v>
                </c:pt>
                <c:pt idx="1">
                  <c:v>0.18460003245372544</c:v>
                </c:pt>
                <c:pt idx="2">
                  <c:v>1.697953412329482E-2</c:v>
                </c:pt>
                <c:pt idx="3">
                  <c:v>5.7476210586968675E-2</c:v>
                </c:pt>
                <c:pt idx="4">
                  <c:v>0.18849921472065473</c:v>
                </c:pt>
                <c:pt idx="5">
                  <c:v>0.15666172104825682</c:v>
                </c:pt>
                <c:pt idx="6">
                  <c:v>3.3426693591245782E-2</c:v>
                </c:pt>
                <c:pt idx="7">
                  <c:v>0.12060235151063001</c:v>
                </c:pt>
                <c:pt idx="8">
                  <c:v>8.7742580374400164E-2</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US"/>
          </a:pPr>
          <a:endParaRPr lang="bg-BG"/>
        </a:p>
      </c:txPr>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bg-BG"/>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Sheet2!$A$3</c:f>
              <c:strCache>
                <c:ptCount val="1"/>
                <c:pt idx="0">
                  <c:v>LCOE</c:v>
                </c:pt>
              </c:strCache>
            </c:strRef>
          </c:tx>
          <c:marker>
            <c:symbol val="none"/>
          </c:marker>
          <c:cat>
            <c:numRef>
              <c:f>Sheet2!$B$2:$BJ$2</c:f>
              <c:numCache>
                <c:formatCode>General</c:formatCode>
                <c:ptCount val="61"/>
                <c:pt idx="0">
                  <c:v>2027</c:v>
                </c:pt>
                <c:pt idx="1">
                  <c:v>2028</c:v>
                </c:pt>
                <c:pt idx="2">
                  <c:v>2029</c:v>
                </c:pt>
                <c:pt idx="3">
                  <c:v>2030</c:v>
                </c:pt>
                <c:pt idx="4">
                  <c:v>2031</c:v>
                </c:pt>
                <c:pt idx="5">
                  <c:v>2032</c:v>
                </c:pt>
                <c:pt idx="6">
                  <c:v>2033</c:v>
                </c:pt>
                <c:pt idx="7">
                  <c:v>2034</c:v>
                </c:pt>
                <c:pt idx="8">
                  <c:v>2035</c:v>
                </c:pt>
                <c:pt idx="9">
                  <c:v>2036</c:v>
                </c:pt>
                <c:pt idx="10">
                  <c:v>2037</c:v>
                </c:pt>
                <c:pt idx="11">
                  <c:v>2038</c:v>
                </c:pt>
                <c:pt idx="12">
                  <c:v>2039</c:v>
                </c:pt>
                <c:pt idx="13">
                  <c:v>2040</c:v>
                </c:pt>
                <c:pt idx="14">
                  <c:v>2041</c:v>
                </c:pt>
                <c:pt idx="15">
                  <c:v>2042</c:v>
                </c:pt>
                <c:pt idx="16">
                  <c:v>2043</c:v>
                </c:pt>
                <c:pt idx="17">
                  <c:v>2044</c:v>
                </c:pt>
                <c:pt idx="18">
                  <c:v>2045</c:v>
                </c:pt>
                <c:pt idx="19">
                  <c:v>2046</c:v>
                </c:pt>
                <c:pt idx="20">
                  <c:v>2047</c:v>
                </c:pt>
                <c:pt idx="21">
                  <c:v>2048</c:v>
                </c:pt>
                <c:pt idx="22">
                  <c:v>2049</c:v>
                </c:pt>
                <c:pt idx="23">
                  <c:v>2050</c:v>
                </c:pt>
                <c:pt idx="24">
                  <c:v>2051</c:v>
                </c:pt>
                <c:pt idx="25">
                  <c:v>2052</c:v>
                </c:pt>
                <c:pt idx="26">
                  <c:v>2053</c:v>
                </c:pt>
                <c:pt idx="27">
                  <c:v>2054</c:v>
                </c:pt>
                <c:pt idx="28">
                  <c:v>2055</c:v>
                </c:pt>
                <c:pt idx="29">
                  <c:v>2056</c:v>
                </c:pt>
                <c:pt idx="30">
                  <c:v>2057</c:v>
                </c:pt>
                <c:pt idx="31">
                  <c:v>2058</c:v>
                </c:pt>
                <c:pt idx="32">
                  <c:v>2059</c:v>
                </c:pt>
                <c:pt idx="33">
                  <c:v>2060</c:v>
                </c:pt>
                <c:pt idx="34">
                  <c:v>2061</c:v>
                </c:pt>
                <c:pt idx="35">
                  <c:v>2062</c:v>
                </c:pt>
                <c:pt idx="36">
                  <c:v>2063</c:v>
                </c:pt>
                <c:pt idx="37">
                  <c:v>2064</c:v>
                </c:pt>
                <c:pt idx="38">
                  <c:v>2065</c:v>
                </c:pt>
                <c:pt idx="39">
                  <c:v>2066</c:v>
                </c:pt>
                <c:pt idx="40">
                  <c:v>2067</c:v>
                </c:pt>
                <c:pt idx="41">
                  <c:v>2068</c:v>
                </c:pt>
                <c:pt idx="42">
                  <c:v>2069</c:v>
                </c:pt>
                <c:pt idx="43">
                  <c:v>2070</c:v>
                </c:pt>
                <c:pt idx="44">
                  <c:v>2071</c:v>
                </c:pt>
                <c:pt idx="45">
                  <c:v>2072</c:v>
                </c:pt>
                <c:pt idx="46">
                  <c:v>2073</c:v>
                </c:pt>
                <c:pt idx="47">
                  <c:v>2074</c:v>
                </c:pt>
                <c:pt idx="48">
                  <c:v>2075</c:v>
                </c:pt>
                <c:pt idx="49">
                  <c:v>2076</c:v>
                </c:pt>
                <c:pt idx="50">
                  <c:v>2077</c:v>
                </c:pt>
                <c:pt idx="51">
                  <c:v>2078</c:v>
                </c:pt>
                <c:pt idx="52">
                  <c:v>2079</c:v>
                </c:pt>
                <c:pt idx="53">
                  <c:v>2080</c:v>
                </c:pt>
                <c:pt idx="54">
                  <c:v>2081</c:v>
                </c:pt>
                <c:pt idx="55">
                  <c:v>2082</c:v>
                </c:pt>
                <c:pt idx="56">
                  <c:v>2083</c:v>
                </c:pt>
                <c:pt idx="57">
                  <c:v>2084</c:v>
                </c:pt>
                <c:pt idx="58">
                  <c:v>2085</c:v>
                </c:pt>
                <c:pt idx="59">
                  <c:v>2086</c:v>
                </c:pt>
                <c:pt idx="60">
                  <c:v>2087</c:v>
                </c:pt>
              </c:numCache>
            </c:numRef>
          </c:cat>
          <c:val>
            <c:numRef>
              <c:f>Sheet2!$B$3:$BJ$3</c:f>
              <c:numCache>
                <c:formatCode>0.00</c:formatCode>
                <c:ptCount val="61"/>
                <c:pt idx="0">
                  <c:v>90.990000000000023</c:v>
                </c:pt>
                <c:pt idx="1">
                  <c:v>90.990000000000023</c:v>
                </c:pt>
                <c:pt idx="2">
                  <c:v>90.990000000000023</c:v>
                </c:pt>
                <c:pt idx="3">
                  <c:v>90.990000000000023</c:v>
                </c:pt>
                <c:pt idx="4">
                  <c:v>90.990000000000023</c:v>
                </c:pt>
                <c:pt idx="5">
                  <c:v>90.990000000000023</c:v>
                </c:pt>
                <c:pt idx="6">
                  <c:v>90.990000000000023</c:v>
                </c:pt>
                <c:pt idx="7">
                  <c:v>90.990000000000023</c:v>
                </c:pt>
                <c:pt idx="8">
                  <c:v>90.990000000000023</c:v>
                </c:pt>
                <c:pt idx="9">
                  <c:v>90.990000000000023</c:v>
                </c:pt>
                <c:pt idx="10">
                  <c:v>90.990000000000023</c:v>
                </c:pt>
                <c:pt idx="11">
                  <c:v>90.990000000000023</c:v>
                </c:pt>
                <c:pt idx="12">
                  <c:v>90.990000000000023</c:v>
                </c:pt>
                <c:pt idx="13">
                  <c:v>90.990000000000023</c:v>
                </c:pt>
                <c:pt idx="14">
                  <c:v>90.990000000000023</c:v>
                </c:pt>
                <c:pt idx="15">
                  <c:v>90.990000000000023</c:v>
                </c:pt>
                <c:pt idx="16">
                  <c:v>90.990000000000023</c:v>
                </c:pt>
                <c:pt idx="17">
                  <c:v>90.990000000000023</c:v>
                </c:pt>
                <c:pt idx="18">
                  <c:v>90.990000000000023</c:v>
                </c:pt>
                <c:pt idx="19">
                  <c:v>90.990000000000023</c:v>
                </c:pt>
                <c:pt idx="20">
                  <c:v>90.990000000000023</c:v>
                </c:pt>
                <c:pt idx="21">
                  <c:v>90.990000000000023</c:v>
                </c:pt>
                <c:pt idx="22">
                  <c:v>90.990000000000023</c:v>
                </c:pt>
                <c:pt idx="23">
                  <c:v>90.990000000000023</c:v>
                </c:pt>
                <c:pt idx="24">
                  <c:v>90.990000000000023</c:v>
                </c:pt>
                <c:pt idx="25">
                  <c:v>90.990000000000023</c:v>
                </c:pt>
                <c:pt idx="26">
                  <c:v>90.990000000000023</c:v>
                </c:pt>
                <c:pt idx="27">
                  <c:v>90.990000000000023</c:v>
                </c:pt>
                <c:pt idx="28">
                  <c:v>90.990000000000023</c:v>
                </c:pt>
                <c:pt idx="29">
                  <c:v>90.990000000000023</c:v>
                </c:pt>
                <c:pt idx="30">
                  <c:v>90.990000000000023</c:v>
                </c:pt>
                <c:pt idx="31">
                  <c:v>90.990000000000023</c:v>
                </c:pt>
                <c:pt idx="32">
                  <c:v>90.990000000000023</c:v>
                </c:pt>
                <c:pt idx="33">
                  <c:v>90.990000000000023</c:v>
                </c:pt>
                <c:pt idx="34">
                  <c:v>90.990000000000023</c:v>
                </c:pt>
                <c:pt idx="35">
                  <c:v>90.990000000000023</c:v>
                </c:pt>
                <c:pt idx="36">
                  <c:v>90.990000000000023</c:v>
                </c:pt>
                <c:pt idx="37">
                  <c:v>90.990000000000023</c:v>
                </c:pt>
                <c:pt idx="38">
                  <c:v>90.990000000000023</c:v>
                </c:pt>
                <c:pt idx="39">
                  <c:v>90.990000000000023</c:v>
                </c:pt>
                <c:pt idx="40">
                  <c:v>90.990000000000023</c:v>
                </c:pt>
                <c:pt idx="41">
                  <c:v>90.990000000000023</c:v>
                </c:pt>
                <c:pt idx="42">
                  <c:v>90.990000000000023</c:v>
                </c:pt>
                <c:pt idx="43">
                  <c:v>90.990000000000023</c:v>
                </c:pt>
                <c:pt idx="44">
                  <c:v>90.990000000000023</c:v>
                </c:pt>
                <c:pt idx="45">
                  <c:v>90.990000000000023</c:v>
                </c:pt>
                <c:pt idx="46">
                  <c:v>90.990000000000023</c:v>
                </c:pt>
                <c:pt idx="47">
                  <c:v>90.990000000000023</c:v>
                </c:pt>
                <c:pt idx="48">
                  <c:v>90.990000000000023</c:v>
                </c:pt>
                <c:pt idx="49">
                  <c:v>90.990000000000023</c:v>
                </c:pt>
                <c:pt idx="50">
                  <c:v>90.990000000000023</c:v>
                </c:pt>
                <c:pt idx="51">
                  <c:v>90.990000000000023</c:v>
                </c:pt>
                <c:pt idx="52">
                  <c:v>90.990000000000023</c:v>
                </c:pt>
                <c:pt idx="53">
                  <c:v>90.990000000000023</c:v>
                </c:pt>
                <c:pt idx="54">
                  <c:v>90.990000000000023</c:v>
                </c:pt>
                <c:pt idx="55">
                  <c:v>90.990000000000023</c:v>
                </c:pt>
                <c:pt idx="56">
                  <c:v>90.990000000000023</c:v>
                </c:pt>
                <c:pt idx="57">
                  <c:v>90.990000000000023</c:v>
                </c:pt>
                <c:pt idx="58">
                  <c:v>90.990000000000023</c:v>
                </c:pt>
                <c:pt idx="59">
                  <c:v>90.990000000000023</c:v>
                </c:pt>
                <c:pt idx="60">
                  <c:v>90.990000000000023</c:v>
                </c:pt>
              </c:numCache>
            </c:numRef>
          </c:val>
          <c:smooth val="0"/>
        </c:ser>
        <c:ser>
          <c:idx val="1"/>
          <c:order val="1"/>
          <c:tx>
            <c:strRef>
              <c:f>Sheet2!$A$4</c:f>
              <c:strCache>
                <c:ptCount val="1"/>
                <c:pt idx="0">
                  <c:v>Максимален сценарий</c:v>
                </c:pt>
              </c:strCache>
            </c:strRef>
          </c:tx>
          <c:marker>
            <c:symbol val="none"/>
          </c:marker>
          <c:cat>
            <c:numRef>
              <c:f>Sheet2!$B$2:$BJ$2</c:f>
              <c:numCache>
                <c:formatCode>General</c:formatCode>
                <c:ptCount val="61"/>
                <c:pt idx="0">
                  <c:v>2027</c:v>
                </c:pt>
                <c:pt idx="1">
                  <c:v>2028</c:v>
                </c:pt>
                <c:pt idx="2">
                  <c:v>2029</c:v>
                </c:pt>
                <c:pt idx="3">
                  <c:v>2030</c:v>
                </c:pt>
                <c:pt idx="4">
                  <c:v>2031</c:v>
                </c:pt>
                <c:pt idx="5">
                  <c:v>2032</c:v>
                </c:pt>
                <c:pt idx="6">
                  <c:v>2033</c:v>
                </c:pt>
                <c:pt idx="7">
                  <c:v>2034</c:v>
                </c:pt>
                <c:pt idx="8">
                  <c:v>2035</c:v>
                </c:pt>
                <c:pt idx="9">
                  <c:v>2036</c:v>
                </c:pt>
                <c:pt idx="10">
                  <c:v>2037</c:v>
                </c:pt>
                <c:pt idx="11">
                  <c:v>2038</c:v>
                </c:pt>
                <c:pt idx="12">
                  <c:v>2039</c:v>
                </c:pt>
                <c:pt idx="13">
                  <c:v>2040</c:v>
                </c:pt>
                <c:pt idx="14">
                  <c:v>2041</c:v>
                </c:pt>
                <c:pt idx="15">
                  <c:v>2042</c:v>
                </c:pt>
                <c:pt idx="16">
                  <c:v>2043</c:v>
                </c:pt>
                <c:pt idx="17">
                  <c:v>2044</c:v>
                </c:pt>
                <c:pt idx="18">
                  <c:v>2045</c:v>
                </c:pt>
                <c:pt idx="19">
                  <c:v>2046</c:v>
                </c:pt>
                <c:pt idx="20">
                  <c:v>2047</c:v>
                </c:pt>
                <c:pt idx="21">
                  <c:v>2048</c:v>
                </c:pt>
                <c:pt idx="22">
                  <c:v>2049</c:v>
                </c:pt>
                <c:pt idx="23">
                  <c:v>2050</c:v>
                </c:pt>
                <c:pt idx="24">
                  <c:v>2051</c:v>
                </c:pt>
                <c:pt idx="25">
                  <c:v>2052</c:v>
                </c:pt>
                <c:pt idx="26">
                  <c:v>2053</c:v>
                </c:pt>
                <c:pt idx="27">
                  <c:v>2054</c:v>
                </c:pt>
                <c:pt idx="28">
                  <c:v>2055</c:v>
                </c:pt>
                <c:pt idx="29">
                  <c:v>2056</c:v>
                </c:pt>
                <c:pt idx="30">
                  <c:v>2057</c:v>
                </c:pt>
                <c:pt idx="31">
                  <c:v>2058</c:v>
                </c:pt>
                <c:pt idx="32">
                  <c:v>2059</c:v>
                </c:pt>
                <c:pt idx="33">
                  <c:v>2060</c:v>
                </c:pt>
                <c:pt idx="34">
                  <c:v>2061</c:v>
                </c:pt>
                <c:pt idx="35">
                  <c:v>2062</c:v>
                </c:pt>
                <c:pt idx="36">
                  <c:v>2063</c:v>
                </c:pt>
                <c:pt idx="37">
                  <c:v>2064</c:v>
                </c:pt>
                <c:pt idx="38">
                  <c:v>2065</c:v>
                </c:pt>
                <c:pt idx="39">
                  <c:v>2066</c:v>
                </c:pt>
                <c:pt idx="40">
                  <c:v>2067</c:v>
                </c:pt>
                <c:pt idx="41">
                  <c:v>2068</c:v>
                </c:pt>
                <c:pt idx="42">
                  <c:v>2069</c:v>
                </c:pt>
                <c:pt idx="43">
                  <c:v>2070</c:v>
                </c:pt>
                <c:pt idx="44">
                  <c:v>2071</c:v>
                </c:pt>
                <c:pt idx="45">
                  <c:v>2072</c:v>
                </c:pt>
                <c:pt idx="46">
                  <c:v>2073</c:v>
                </c:pt>
                <c:pt idx="47">
                  <c:v>2074</c:v>
                </c:pt>
                <c:pt idx="48">
                  <c:v>2075</c:v>
                </c:pt>
                <c:pt idx="49">
                  <c:v>2076</c:v>
                </c:pt>
                <c:pt idx="50">
                  <c:v>2077</c:v>
                </c:pt>
                <c:pt idx="51">
                  <c:v>2078</c:v>
                </c:pt>
                <c:pt idx="52">
                  <c:v>2079</c:v>
                </c:pt>
                <c:pt idx="53">
                  <c:v>2080</c:v>
                </c:pt>
                <c:pt idx="54">
                  <c:v>2081</c:v>
                </c:pt>
                <c:pt idx="55">
                  <c:v>2082</c:v>
                </c:pt>
                <c:pt idx="56">
                  <c:v>2083</c:v>
                </c:pt>
                <c:pt idx="57">
                  <c:v>2084</c:v>
                </c:pt>
                <c:pt idx="58">
                  <c:v>2085</c:v>
                </c:pt>
                <c:pt idx="59">
                  <c:v>2086</c:v>
                </c:pt>
                <c:pt idx="60">
                  <c:v>2087</c:v>
                </c:pt>
              </c:numCache>
            </c:numRef>
          </c:cat>
          <c:val>
            <c:numRef>
              <c:f>Sheet2!$B$4:$BJ$4</c:f>
              <c:numCache>
                <c:formatCode>0.0</c:formatCode>
                <c:ptCount val="61"/>
                <c:pt idx="0">
                  <c:v>67.328638211266167</c:v>
                </c:pt>
                <c:pt idx="1">
                  <c:v>67.334674295887126</c:v>
                </c:pt>
                <c:pt idx="2">
                  <c:v>67.340605601286796</c:v>
                </c:pt>
                <c:pt idx="3">
                  <c:v>71.061843569043788</c:v>
                </c:pt>
                <c:pt idx="4">
                  <c:v>73.717244229464896</c:v>
                </c:pt>
                <c:pt idx="5">
                  <c:v>73.723037731952928</c:v>
                </c:pt>
                <c:pt idx="6">
                  <c:v>73.728731622889725</c:v>
                </c:pt>
                <c:pt idx="7">
                  <c:v>73.73420013483998</c:v>
                </c:pt>
                <c:pt idx="8">
                  <c:v>77.140794811198958</c:v>
                </c:pt>
                <c:pt idx="9">
                  <c:v>81.138403870898458</c:v>
                </c:pt>
                <c:pt idx="10">
                  <c:v>81.153906120722468</c:v>
                </c:pt>
                <c:pt idx="11">
                  <c:v>81.160848203179654</c:v>
                </c:pt>
                <c:pt idx="12">
                  <c:v>81.16785060481233</c:v>
                </c:pt>
                <c:pt idx="13">
                  <c:v>81.174913849026581</c:v>
                </c:pt>
                <c:pt idx="14">
                  <c:v>81.986662987516866</c:v>
                </c:pt>
                <c:pt idx="15">
                  <c:v>82.806529617392187</c:v>
                </c:pt>
                <c:pt idx="16">
                  <c:v>83.634594913565849</c:v>
                </c:pt>
                <c:pt idx="17">
                  <c:v>84.470940862701397</c:v>
                </c:pt>
                <c:pt idx="18">
                  <c:v>85.315650271328607</c:v>
                </c:pt>
                <c:pt idx="19">
                  <c:v>86.168806774041727</c:v>
                </c:pt>
                <c:pt idx="20">
                  <c:v>87.030494841782314</c:v>
                </c:pt>
                <c:pt idx="21">
                  <c:v>87.900799790200196</c:v>
                </c:pt>
                <c:pt idx="22">
                  <c:v>88.779807788102147</c:v>
                </c:pt>
                <c:pt idx="23">
                  <c:v>89.667605865983163</c:v>
                </c:pt>
                <c:pt idx="24">
                  <c:v>90.564281924643026</c:v>
                </c:pt>
                <c:pt idx="25">
                  <c:v>91.469924743889422</c:v>
                </c:pt>
                <c:pt idx="26">
                  <c:v>92.384623991328567</c:v>
                </c:pt>
                <c:pt idx="27">
                  <c:v>93.308470231241458</c:v>
                </c:pt>
                <c:pt idx="28">
                  <c:v>94.241554933554013</c:v>
                </c:pt>
                <c:pt idx="29">
                  <c:v>95.183970482889308</c:v>
                </c:pt>
                <c:pt idx="30">
                  <c:v>96.135810187718448</c:v>
                </c:pt>
                <c:pt idx="31">
                  <c:v>97.097168289595785</c:v>
                </c:pt>
                <c:pt idx="32">
                  <c:v>98.068139972491338</c:v>
                </c:pt>
                <c:pt idx="33">
                  <c:v>99.048821372216509</c:v>
                </c:pt>
                <c:pt idx="34">
                  <c:v>100.03930958593872</c:v>
                </c:pt>
                <c:pt idx="35">
                  <c:v>101.03970268179806</c:v>
                </c:pt>
                <c:pt idx="36">
                  <c:v>102.05009970861606</c:v>
                </c:pt>
                <c:pt idx="37">
                  <c:v>103.0706007057022</c:v>
                </c:pt>
                <c:pt idx="38">
                  <c:v>104.10130671275894</c:v>
                </c:pt>
                <c:pt idx="39">
                  <c:v>105.14231977988678</c:v>
                </c:pt>
                <c:pt idx="40">
                  <c:v>106.19374297768543</c:v>
                </c:pt>
                <c:pt idx="41">
                  <c:v>107.25568040746255</c:v>
                </c:pt>
                <c:pt idx="42">
                  <c:v>108.32823721153703</c:v>
                </c:pt>
                <c:pt idx="43">
                  <c:v>109.4115195836528</c:v>
                </c:pt>
                <c:pt idx="44">
                  <c:v>110.50563477948893</c:v>
                </c:pt>
                <c:pt idx="45">
                  <c:v>111.61069112728381</c:v>
                </c:pt>
                <c:pt idx="46">
                  <c:v>112.72679803855645</c:v>
                </c:pt>
                <c:pt idx="47">
                  <c:v>113.85406601894236</c:v>
                </c:pt>
                <c:pt idx="48">
                  <c:v>114.99260667913182</c:v>
                </c:pt>
                <c:pt idx="49">
                  <c:v>116.14253274592311</c:v>
                </c:pt>
                <c:pt idx="50">
                  <c:v>117.30395807338228</c:v>
                </c:pt>
                <c:pt idx="51">
                  <c:v>118.47699765411616</c:v>
                </c:pt>
                <c:pt idx="52">
                  <c:v>119.66176763065731</c:v>
                </c:pt>
                <c:pt idx="53">
                  <c:v>120.85838530696361</c:v>
                </c:pt>
                <c:pt idx="54">
                  <c:v>122.06696916003359</c:v>
                </c:pt>
                <c:pt idx="55">
                  <c:v>123.28763885163373</c:v>
                </c:pt>
                <c:pt idx="56">
                  <c:v>124.52051524015022</c:v>
                </c:pt>
                <c:pt idx="57">
                  <c:v>125.76572039255143</c:v>
                </c:pt>
                <c:pt idx="58">
                  <c:v>127.02337759647698</c:v>
                </c:pt>
                <c:pt idx="59">
                  <c:v>128.29361137244192</c:v>
                </c:pt>
                <c:pt idx="60">
                  <c:v>129.57654748616642</c:v>
                </c:pt>
              </c:numCache>
            </c:numRef>
          </c:val>
          <c:smooth val="0"/>
        </c:ser>
        <c:ser>
          <c:idx val="2"/>
          <c:order val="2"/>
          <c:tx>
            <c:strRef>
              <c:f>Sheet2!$A$5</c:f>
              <c:strCache>
                <c:ptCount val="1"/>
                <c:pt idx="0">
                  <c:v>Минимален сценарий</c:v>
                </c:pt>
              </c:strCache>
            </c:strRef>
          </c:tx>
          <c:marker>
            <c:symbol val="none"/>
          </c:marker>
          <c:cat>
            <c:numRef>
              <c:f>Sheet2!$B$2:$BJ$2</c:f>
              <c:numCache>
                <c:formatCode>General</c:formatCode>
                <c:ptCount val="61"/>
                <c:pt idx="0">
                  <c:v>2027</c:v>
                </c:pt>
                <c:pt idx="1">
                  <c:v>2028</c:v>
                </c:pt>
                <c:pt idx="2">
                  <c:v>2029</c:v>
                </c:pt>
                <c:pt idx="3">
                  <c:v>2030</c:v>
                </c:pt>
                <c:pt idx="4">
                  <c:v>2031</c:v>
                </c:pt>
                <c:pt idx="5">
                  <c:v>2032</c:v>
                </c:pt>
                <c:pt idx="6">
                  <c:v>2033</c:v>
                </c:pt>
                <c:pt idx="7">
                  <c:v>2034</c:v>
                </c:pt>
                <c:pt idx="8">
                  <c:v>2035</c:v>
                </c:pt>
                <c:pt idx="9">
                  <c:v>2036</c:v>
                </c:pt>
                <c:pt idx="10">
                  <c:v>2037</c:v>
                </c:pt>
                <c:pt idx="11">
                  <c:v>2038</c:v>
                </c:pt>
                <c:pt idx="12">
                  <c:v>2039</c:v>
                </c:pt>
                <c:pt idx="13">
                  <c:v>2040</c:v>
                </c:pt>
                <c:pt idx="14">
                  <c:v>2041</c:v>
                </c:pt>
                <c:pt idx="15">
                  <c:v>2042</c:v>
                </c:pt>
                <c:pt idx="16">
                  <c:v>2043</c:v>
                </c:pt>
                <c:pt idx="17">
                  <c:v>2044</c:v>
                </c:pt>
                <c:pt idx="18">
                  <c:v>2045</c:v>
                </c:pt>
                <c:pt idx="19">
                  <c:v>2046</c:v>
                </c:pt>
                <c:pt idx="20">
                  <c:v>2047</c:v>
                </c:pt>
                <c:pt idx="21">
                  <c:v>2048</c:v>
                </c:pt>
                <c:pt idx="22">
                  <c:v>2049</c:v>
                </c:pt>
                <c:pt idx="23">
                  <c:v>2050</c:v>
                </c:pt>
                <c:pt idx="24">
                  <c:v>2051</c:v>
                </c:pt>
                <c:pt idx="25">
                  <c:v>2052</c:v>
                </c:pt>
                <c:pt idx="26">
                  <c:v>2053</c:v>
                </c:pt>
                <c:pt idx="27">
                  <c:v>2054</c:v>
                </c:pt>
                <c:pt idx="28">
                  <c:v>2055</c:v>
                </c:pt>
                <c:pt idx="29">
                  <c:v>2056</c:v>
                </c:pt>
                <c:pt idx="30">
                  <c:v>2057</c:v>
                </c:pt>
                <c:pt idx="31">
                  <c:v>2058</c:v>
                </c:pt>
                <c:pt idx="32">
                  <c:v>2059</c:v>
                </c:pt>
                <c:pt idx="33">
                  <c:v>2060</c:v>
                </c:pt>
                <c:pt idx="34">
                  <c:v>2061</c:v>
                </c:pt>
                <c:pt idx="35">
                  <c:v>2062</c:v>
                </c:pt>
                <c:pt idx="36">
                  <c:v>2063</c:v>
                </c:pt>
                <c:pt idx="37">
                  <c:v>2064</c:v>
                </c:pt>
                <c:pt idx="38">
                  <c:v>2065</c:v>
                </c:pt>
                <c:pt idx="39">
                  <c:v>2066</c:v>
                </c:pt>
                <c:pt idx="40">
                  <c:v>2067</c:v>
                </c:pt>
                <c:pt idx="41">
                  <c:v>2068</c:v>
                </c:pt>
                <c:pt idx="42">
                  <c:v>2069</c:v>
                </c:pt>
                <c:pt idx="43">
                  <c:v>2070</c:v>
                </c:pt>
                <c:pt idx="44">
                  <c:v>2071</c:v>
                </c:pt>
                <c:pt idx="45">
                  <c:v>2072</c:v>
                </c:pt>
                <c:pt idx="46">
                  <c:v>2073</c:v>
                </c:pt>
                <c:pt idx="47">
                  <c:v>2074</c:v>
                </c:pt>
                <c:pt idx="48">
                  <c:v>2075</c:v>
                </c:pt>
                <c:pt idx="49">
                  <c:v>2076</c:v>
                </c:pt>
                <c:pt idx="50">
                  <c:v>2077</c:v>
                </c:pt>
                <c:pt idx="51">
                  <c:v>2078</c:v>
                </c:pt>
                <c:pt idx="52">
                  <c:v>2079</c:v>
                </c:pt>
                <c:pt idx="53">
                  <c:v>2080</c:v>
                </c:pt>
                <c:pt idx="54">
                  <c:v>2081</c:v>
                </c:pt>
                <c:pt idx="55">
                  <c:v>2082</c:v>
                </c:pt>
                <c:pt idx="56">
                  <c:v>2083</c:v>
                </c:pt>
                <c:pt idx="57">
                  <c:v>2084</c:v>
                </c:pt>
                <c:pt idx="58">
                  <c:v>2085</c:v>
                </c:pt>
                <c:pt idx="59">
                  <c:v>2086</c:v>
                </c:pt>
                <c:pt idx="60">
                  <c:v>2087</c:v>
                </c:pt>
              </c:numCache>
            </c:numRef>
          </c:cat>
          <c:val>
            <c:numRef>
              <c:f>Sheet2!$B$5:$BJ$5</c:f>
              <c:numCache>
                <c:formatCode>0.0</c:formatCode>
                <c:ptCount val="61"/>
                <c:pt idx="0">
                  <c:v>56.409137873726728</c:v>
                </c:pt>
                <c:pt idx="1">
                  <c:v>56.414794935226844</c:v>
                </c:pt>
                <c:pt idx="2">
                  <c:v>56.420353796894908</c:v>
                </c:pt>
                <c:pt idx="3">
                  <c:v>56.715124525814076</c:v>
                </c:pt>
                <c:pt idx="4">
                  <c:v>59.203784938580071</c:v>
                </c:pt>
                <c:pt idx="5">
                  <c:v>59.209214650377767</c:v>
                </c:pt>
                <c:pt idx="6">
                  <c:v>59.214551005520192</c:v>
                </c:pt>
                <c:pt idx="7">
                  <c:v>59.219676133870657</c:v>
                </c:pt>
                <c:pt idx="8">
                  <c:v>59.224760928958958</c:v>
                </c:pt>
                <c:pt idx="9">
                  <c:v>61.374948613775594</c:v>
                </c:pt>
                <c:pt idx="10">
                  <c:v>61.389477432729805</c:v>
                </c:pt>
                <c:pt idx="11">
                  <c:v>61.395983601855534</c:v>
                </c:pt>
                <c:pt idx="12">
                  <c:v>61.402546302541936</c:v>
                </c:pt>
                <c:pt idx="13">
                  <c:v>61.409166025329505</c:v>
                </c:pt>
                <c:pt idx="14">
                  <c:v>62.023257685582806</c:v>
                </c:pt>
                <c:pt idx="15">
                  <c:v>62.643490262438625</c:v>
                </c:pt>
                <c:pt idx="16">
                  <c:v>63.269925165063022</c:v>
                </c:pt>
                <c:pt idx="17">
                  <c:v>63.902624416713508</c:v>
                </c:pt>
                <c:pt idx="18">
                  <c:v>64.541650660880975</c:v>
                </c:pt>
                <c:pt idx="19">
                  <c:v>65.187067167489346</c:v>
                </c:pt>
                <c:pt idx="20">
                  <c:v>65.838937839164245</c:v>
                </c:pt>
                <c:pt idx="21">
                  <c:v>66.497327217556148</c:v>
                </c:pt>
                <c:pt idx="22">
                  <c:v>67.162300489731678</c:v>
                </c:pt>
                <c:pt idx="23">
                  <c:v>67.833923494629033</c:v>
                </c:pt>
                <c:pt idx="24">
                  <c:v>68.512262729575326</c:v>
                </c:pt>
                <c:pt idx="25">
                  <c:v>69.197385356870839</c:v>
                </c:pt>
                <c:pt idx="26">
                  <c:v>69.889359210439537</c:v>
                </c:pt>
                <c:pt idx="27">
                  <c:v>70.588252802543934</c:v>
                </c:pt>
                <c:pt idx="28">
                  <c:v>71.294135330569588</c:v>
                </c:pt>
                <c:pt idx="29">
                  <c:v>72.007076683875326</c:v>
                </c:pt>
                <c:pt idx="30">
                  <c:v>72.727147450714071</c:v>
                </c:pt>
                <c:pt idx="31">
                  <c:v>73.454418925221233</c:v>
                </c:pt>
                <c:pt idx="32">
                  <c:v>74.188963114473225</c:v>
                </c:pt>
                <c:pt idx="33">
                  <c:v>74.930852745618196</c:v>
                </c:pt>
                <c:pt idx="34">
                  <c:v>75.680161273074319</c:v>
                </c:pt>
                <c:pt idx="35">
                  <c:v>76.436962885805244</c:v>
                </c:pt>
                <c:pt idx="36">
                  <c:v>77.201332514662894</c:v>
                </c:pt>
                <c:pt idx="37">
                  <c:v>77.973345839809539</c:v>
                </c:pt>
                <c:pt idx="38">
                  <c:v>78.753079298207865</c:v>
                </c:pt>
                <c:pt idx="39">
                  <c:v>79.540610091189947</c:v>
                </c:pt>
                <c:pt idx="40">
                  <c:v>80.336016192101624</c:v>
                </c:pt>
                <c:pt idx="41">
                  <c:v>81.139376354022616</c:v>
                </c:pt>
                <c:pt idx="42">
                  <c:v>81.950770117562755</c:v>
                </c:pt>
                <c:pt idx="43">
                  <c:v>82.770277818738478</c:v>
                </c:pt>
                <c:pt idx="44">
                  <c:v>83.597980596926078</c:v>
                </c:pt>
                <c:pt idx="45">
                  <c:v>84.433960402895394</c:v>
                </c:pt>
                <c:pt idx="46">
                  <c:v>85.278300006924027</c:v>
                </c:pt>
                <c:pt idx="47">
                  <c:v>86.131083006993578</c:v>
                </c:pt>
                <c:pt idx="48">
                  <c:v>86.992393837063489</c:v>
                </c:pt>
                <c:pt idx="49">
                  <c:v>87.862317775433908</c:v>
                </c:pt>
                <c:pt idx="50">
                  <c:v>88.740940953188499</c:v>
                </c:pt>
                <c:pt idx="51">
                  <c:v>89.628350362720056</c:v>
                </c:pt>
                <c:pt idx="52">
                  <c:v>90.524633866347727</c:v>
                </c:pt>
                <c:pt idx="53">
                  <c:v>91.42988020501106</c:v>
                </c:pt>
                <c:pt idx="54">
                  <c:v>92.344179007061172</c:v>
                </c:pt>
                <c:pt idx="55">
                  <c:v>93.267620797131826</c:v>
                </c:pt>
                <c:pt idx="56">
                  <c:v>94.200297005103096</c:v>
                </c:pt>
                <c:pt idx="57">
                  <c:v>95.142299975154131</c:v>
                </c:pt>
                <c:pt idx="58">
                  <c:v>96.093722974905674</c:v>
                </c:pt>
                <c:pt idx="59">
                  <c:v>97.054660204654738</c:v>
                </c:pt>
                <c:pt idx="60">
                  <c:v>98.025206806701036</c:v>
                </c:pt>
              </c:numCache>
            </c:numRef>
          </c:val>
          <c:smooth val="0"/>
        </c:ser>
        <c:ser>
          <c:idx val="3"/>
          <c:order val="3"/>
          <c:tx>
            <c:strRef>
              <c:f>Sheet2!$A$6</c:f>
              <c:strCache>
                <c:ptCount val="1"/>
                <c:pt idx="0">
                  <c:v>Среден сценарий</c:v>
                </c:pt>
              </c:strCache>
            </c:strRef>
          </c:tx>
          <c:marker>
            <c:symbol val="none"/>
          </c:marker>
          <c:cat>
            <c:numRef>
              <c:f>Sheet2!$B$2:$BJ$2</c:f>
              <c:numCache>
                <c:formatCode>General</c:formatCode>
                <c:ptCount val="61"/>
                <c:pt idx="0">
                  <c:v>2027</c:v>
                </c:pt>
                <c:pt idx="1">
                  <c:v>2028</c:v>
                </c:pt>
                <c:pt idx="2">
                  <c:v>2029</c:v>
                </c:pt>
                <c:pt idx="3">
                  <c:v>2030</c:v>
                </c:pt>
                <c:pt idx="4">
                  <c:v>2031</c:v>
                </c:pt>
                <c:pt idx="5">
                  <c:v>2032</c:v>
                </c:pt>
                <c:pt idx="6">
                  <c:v>2033</c:v>
                </c:pt>
                <c:pt idx="7">
                  <c:v>2034</c:v>
                </c:pt>
                <c:pt idx="8">
                  <c:v>2035</c:v>
                </c:pt>
                <c:pt idx="9">
                  <c:v>2036</c:v>
                </c:pt>
                <c:pt idx="10">
                  <c:v>2037</c:v>
                </c:pt>
                <c:pt idx="11">
                  <c:v>2038</c:v>
                </c:pt>
                <c:pt idx="12">
                  <c:v>2039</c:v>
                </c:pt>
                <c:pt idx="13">
                  <c:v>2040</c:v>
                </c:pt>
                <c:pt idx="14">
                  <c:v>2041</c:v>
                </c:pt>
                <c:pt idx="15">
                  <c:v>2042</c:v>
                </c:pt>
                <c:pt idx="16">
                  <c:v>2043</c:v>
                </c:pt>
                <c:pt idx="17">
                  <c:v>2044</c:v>
                </c:pt>
                <c:pt idx="18">
                  <c:v>2045</c:v>
                </c:pt>
                <c:pt idx="19">
                  <c:v>2046</c:v>
                </c:pt>
                <c:pt idx="20">
                  <c:v>2047</c:v>
                </c:pt>
                <c:pt idx="21">
                  <c:v>2048</c:v>
                </c:pt>
                <c:pt idx="22">
                  <c:v>2049</c:v>
                </c:pt>
                <c:pt idx="23">
                  <c:v>2050</c:v>
                </c:pt>
                <c:pt idx="24">
                  <c:v>2051</c:v>
                </c:pt>
                <c:pt idx="25">
                  <c:v>2052</c:v>
                </c:pt>
                <c:pt idx="26">
                  <c:v>2053</c:v>
                </c:pt>
                <c:pt idx="27">
                  <c:v>2054</c:v>
                </c:pt>
                <c:pt idx="28">
                  <c:v>2055</c:v>
                </c:pt>
                <c:pt idx="29">
                  <c:v>2056</c:v>
                </c:pt>
                <c:pt idx="30">
                  <c:v>2057</c:v>
                </c:pt>
                <c:pt idx="31">
                  <c:v>2058</c:v>
                </c:pt>
                <c:pt idx="32">
                  <c:v>2059</c:v>
                </c:pt>
                <c:pt idx="33">
                  <c:v>2060</c:v>
                </c:pt>
                <c:pt idx="34">
                  <c:v>2061</c:v>
                </c:pt>
                <c:pt idx="35">
                  <c:v>2062</c:v>
                </c:pt>
                <c:pt idx="36">
                  <c:v>2063</c:v>
                </c:pt>
                <c:pt idx="37">
                  <c:v>2064</c:v>
                </c:pt>
                <c:pt idx="38">
                  <c:v>2065</c:v>
                </c:pt>
                <c:pt idx="39">
                  <c:v>2066</c:v>
                </c:pt>
                <c:pt idx="40">
                  <c:v>2067</c:v>
                </c:pt>
                <c:pt idx="41">
                  <c:v>2068</c:v>
                </c:pt>
                <c:pt idx="42">
                  <c:v>2069</c:v>
                </c:pt>
                <c:pt idx="43">
                  <c:v>2070</c:v>
                </c:pt>
                <c:pt idx="44">
                  <c:v>2071</c:v>
                </c:pt>
                <c:pt idx="45">
                  <c:v>2072</c:v>
                </c:pt>
                <c:pt idx="46">
                  <c:v>2073</c:v>
                </c:pt>
                <c:pt idx="47">
                  <c:v>2074</c:v>
                </c:pt>
                <c:pt idx="48">
                  <c:v>2075</c:v>
                </c:pt>
                <c:pt idx="49">
                  <c:v>2076</c:v>
                </c:pt>
                <c:pt idx="50">
                  <c:v>2077</c:v>
                </c:pt>
                <c:pt idx="51">
                  <c:v>2078</c:v>
                </c:pt>
                <c:pt idx="52">
                  <c:v>2079</c:v>
                </c:pt>
                <c:pt idx="53">
                  <c:v>2080</c:v>
                </c:pt>
                <c:pt idx="54">
                  <c:v>2081</c:v>
                </c:pt>
                <c:pt idx="55">
                  <c:v>2082</c:v>
                </c:pt>
                <c:pt idx="56">
                  <c:v>2083</c:v>
                </c:pt>
                <c:pt idx="57">
                  <c:v>2084</c:v>
                </c:pt>
                <c:pt idx="58">
                  <c:v>2085</c:v>
                </c:pt>
                <c:pt idx="59">
                  <c:v>2086</c:v>
                </c:pt>
                <c:pt idx="60">
                  <c:v>2087</c:v>
                </c:pt>
              </c:numCache>
            </c:numRef>
          </c:cat>
          <c:val>
            <c:numRef>
              <c:f>Sheet2!$B$6:$BJ$6</c:f>
              <c:numCache>
                <c:formatCode>0.0</c:formatCode>
                <c:ptCount val="61"/>
                <c:pt idx="0">
                  <c:v>61.868888042496508</c:v>
                </c:pt>
                <c:pt idx="1">
                  <c:v>61.874734615556946</c:v>
                </c:pt>
                <c:pt idx="2">
                  <c:v>61.880479699090721</c:v>
                </c:pt>
                <c:pt idx="3">
                  <c:v>63.888484047428847</c:v>
                </c:pt>
                <c:pt idx="4">
                  <c:v>66.460514584022619</c:v>
                </c:pt>
                <c:pt idx="5">
                  <c:v>66.466126191165571</c:v>
                </c:pt>
                <c:pt idx="6">
                  <c:v>66.471641314205115</c:v>
                </c:pt>
                <c:pt idx="7">
                  <c:v>66.476938134355066</c:v>
                </c:pt>
                <c:pt idx="8">
                  <c:v>68.182777870078581</c:v>
                </c:pt>
                <c:pt idx="9">
                  <c:v>71.256676242337093</c:v>
                </c:pt>
                <c:pt idx="10">
                  <c:v>71.271691776726158</c:v>
                </c:pt>
                <c:pt idx="11">
                  <c:v>71.278415902517679</c:v>
                </c:pt>
                <c:pt idx="12">
                  <c:v>71.285198453677012</c:v>
                </c:pt>
                <c:pt idx="13">
                  <c:v>71.292039937178046</c:v>
                </c:pt>
                <c:pt idx="14">
                  <c:v>72.004960336549686</c:v>
                </c:pt>
                <c:pt idx="15">
                  <c:v>72.725009939915324</c:v>
                </c:pt>
                <c:pt idx="16">
                  <c:v>73.452260039314496</c:v>
                </c:pt>
                <c:pt idx="17">
                  <c:v>74.186782639707559</c:v>
                </c:pt>
                <c:pt idx="18">
                  <c:v>74.928650466104699</c:v>
                </c:pt>
                <c:pt idx="19">
                  <c:v>75.677936970765614</c:v>
                </c:pt>
                <c:pt idx="20">
                  <c:v>76.434716340473415</c:v>
                </c:pt>
                <c:pt idx="21">
                  <c:v>77.199063503878136</c:v>
                </c:pt>
                <c:pt idx="22">
                  <c:v>77.971054138916912</c:v>
                </c:pt>
                <c:pt idx="23">
                  <c:v>78.750764680306276</c:v>
                </c:pt>
                <c:pt idx="24">
                  <c:v>79.538272327108984</c:v>
                </c:pt>
                <c:pt idx="25">
                  <c:v>80.333655050380244</c:v>
                </c:pt>
                <c:pt idx="26">
                  <c:v>81.136991600883988</c:v>
                </c:pt>
                <c:pt idx="27">
                  <c:v>81.948361516892888</c:v>
                </c:pt>
                <c:pt idx="28">
                  <c:v>82.767845132061566</c:v>
                </c:pt>
                <c:pt idx="29">
                  <c:v>83.595523583382601</c:v>
                </c:pt>
                <c:pt idx="30">
                  <c:v>84.431478819216252</c:v>
                </c:pt>
                <c:pt idx="31">
                  <c:v>85.275793607408389</c:v>
                </c:pt>
                <c:pt idx="32">
                  <c:v>86.128551543482274</c:v>
                </c:pt>
                <c:pt idx="33">
                  <c:v>86.989837058917345</c:v>
                </c:pt>
                <c:pt idx="34">
                  <c:v>87.859735429506458</c:v>
                </c:pt>
                <c:pt idx="35">
                  <c:v>88.738332783801368</c:v>
                </c:pt>
                <c:pt idx="36">
                  <c:v>89.625716111639221</c:v>
                </c:pt>
                <c:pt idx="37">
                  <c:v>90.521973272755858</c:v>
                </c:pt>
                <c:pt idx="38">
                  <c:v>91.427193005483545</c:v>
                </c:pt>
                <c:pt idx="39">
                  <c:v>92.341464935538397</c:v>
                </c:pt>
                <c:pt idx="40">
                  <c:v>93.264879584893777</c:v>
                </c:pt>
                <c:pt idx="41">
                  <c:v>94.197528380742725</c:v>
                </c:pt>
                <c:pt idx="42">
                  <c:v>95.139503664550134</c:v>
                </c:pt>
                <c:pt idx="43">
                  <c:v>96.090898701195641</c:v>
                </c:pt>
                <c:pt idx="44">
                  <c:v>97.051807688207759</c:v>
                </c:pt>
                <c:pt idx="45">
                  <c:v>98.022325765089619</c:v>
                </c:pt>
                <c:pt idx="46">
                  <c:v>99.002549022740553</c:v>
                </c:pt>
                <c:pt idx="47">
                  <c:v>99.992574512967948</c:v>
                </c:pt>
                <c:pt idx="48">
                  <c:v>100.99250025809766</c:v>
                </c:pt>
                <c:pt idx="49">
                  <c:v>102.00242526067862</c:v>
                </c:pt>
                <c:pt idx="50">
                  <c:v>103.02244951328524</c:v>
                </c:pt>
                <c:pt idx="51">
                  <c:v>104.05267400841828</c:v>
                </c:pt>
                <c:pt idx="52">
                  <c:v>105.0932007485026</c:v>
                </c:pt>
                <c:pt idx="53">
                  <c:v>106.14413275598747</c:v>
                </c:pt>
                <c:pt idx="54">
                  <c:v>107.20557408354736</c:v>
                </c:pt>
                <c:pt idx="55">
                  <c:v>108.27762982438297</c:v>
                </c:pt>
                <c:pt idx="56">
                  <c:v>109.36040612262637</c:v>
                </c:pt>
                <c:pt idx="57">
                  <c:v>110.45401018385292</c:v>
                </c:pt>
                <c:pt idx="58">
                  <c:v>111.55855028569145</c:v>
                </c:pt>
                <c:pt idx="59">
                  <c:v>112.67413578854837</c:v>
                </c:pt>
                <c:pt idx="60">
                  <c:v>113.80087714643352</c:v>
                </c:pt>
              </c:numCache>
            </c:numRef>
          </c:val>
          <c:smooth val="0"/>
        </c:ser>
        <c:dLbls>
          <c:showLegendKey val="0"/>
          <c:showVal val="0"/>
          <c:showCatName val="0"/>
          <c:showSerName val="0"/>
          <c:showPercent val="0"/>
          <c:showBubbleSize val="0"/>
        </c:dLbls>
        <c:marker val="1"/>
        <c:smooth val="0"/>
        <c:axId val="89807872"/>
        <c:axId val="89813760"/>
      </c:lineChart>
      <c:catAx>
        <c:axId val="89807872"/>
        <c:scaling>
          <c:orientation val="minMax"/>
        </c:scaling>
        <c:delete val="0"/>
        <c:axPos val="b"/>
        <c:numFmt formatCode="General" sourceLinked="1"/>
        <c:majorTickMark val="out"/>
        <c:minorTickMark val="none"/>
        <c:tickLblPos val="nextTo"/>
        <c:txPr>
          <a:bodyPr/>
          <a:lstStyle/>
          <a:p>
            <a:pPr>
              <a:defRPr lang="en-US"/>
            </a:pPr>
            <a:endParaRPr lang="bg-BG"/>
          </a:p>
        </c:txPr>
        <c:crossAx val="89813760"/>
        <c:crosses val="autoZero"/>
        <c:auto val="1"/>
        <c:lblAlgn val="ctr"/>
        <c:lblOffset val="100"/>
        <c:noMultiLvlLbl val="0"/>
      </c:catAx>
      <c:valAx>
        <c:axId val="89813760"/>
        <c:scaling>
          <c:orientation val="minMax"/>
          <c:min val="20"/>
        </c:scaling>
        <c:delete val="0"/>
        <c:axPos val="l"/>
        <c:majorGridlines/>
        <c:numFmt formatCode="0.00" sourceLinked="1"/>
        <c:majorTickMark val="out"/>
        <c:minorTickMark val="none"/>
        <c:tickLblPos val="nextTo"/>
        <c:txPr>
          <a:bodyPr/>
          <a:lstStyle/>
          <a:p>
            <a:pPr>
              <a:defRPr lang="en-US"/>
            </a:pPr>
            <a:endParaRPr lang="bg-BG"/>
          </a:p>
        </c:txPr>
        <c:crossAx val="89807872"/>
        <c:crosses val="autoZero"/>
        <c:crossBetween val="between"/>
      </c:valAx>
    </c:plotArea>
    <c:legend>
      <c:legendPos val="b"/>
      <c:overlay val="0"/>
      <c:txPr>
        <a:bodyPr/>
        <a:lstStyle/>
        <a:p>
          <a:pPr>
            <a:defRPr lang="en-US"/>
          </a:pPr>
          <a:endParaRPr lang="bg-BG"/>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bg-BG"/>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Sheet2!$A$12</c:f>
              <c:strCache>
                <c:ptCount val="1"/>
                <c:pt idx="0">
                  <c:v>LCOE</c:v>
                </c:pt>
              </c:strCache>
            </c:strRef>
          </c:tx>
          <c:marker>
            <c:symbol val="none"/>
          </c:marker>
          <c:cat>
            <c:numRef>
              <c:f>Sheet2!$B$11:$BJ$11</c:f>
              <c:numCache>
                <c:formatCode>General</c:formatCode>
                <c:ptCount val="61"/>
                <c:pt idx="0">
                  <c:v>2027</c:v>
                </c:pt>
                <c:pt idx="1">
                  <c:v>2028</c:v>
                </c:pt>
                <c:pt idx="2">
                  <c:v>2029</c:v>
                </c:pt>
                <c:pt idx="3">
                  <c:v>2030</c:v>
                </c:pt>
                <c:pt idx="4">
                  <c:v>2031</c:v>
                </c:pt>
                <c:pt idx="5">
                  <c:v>2032</c:v>
                </c:pt>
                <c:pt idx="6">
                  <c:v>2033</c:v>
                </c:pt>
                <c:pt idx="7">
                  <c:v>2034</c:v>
                </c:pt>
                <c:pt idx="8">
                  <c:v>2035</c:v>
                </c:pt>
                <c:pt idx="9">
                  <c:v>2036</c:v>
                </c:pt>
                <c:pt idx="10">
                  <c:v>2037</c:v>
                </c:pt>
                <c:pt idx="11">
                  <c:v>2038</c:v>
                </c:pt>
                <c:pt idx="12">
                  <c:v>2039</c:v>
                </c:pt>
                <c:pt idx="13">
                  <c:v>2040</c:v>
                </c:pt>
                <c:pt idx="14">
                  <c:v>2041</c:v>
                </c:pt>
                <c:pt idx="15">
                  <c:v>2042</c:v>
                </c:pt>
                <c:pt idx="16">
                  <c:v>2043</c:v>
                </c:pt>
                <c:pt idx="17">
                  <c:v>2044</c:v>
                </c:pt>
                <c:pt idx="18">
                  <c:v>2045</c:v>
                </c:pt>
                <c:pt idx="19">
                  <c:v>2046</c:v>
                </c:pt>
                <c:pt idx="20">
                  <c:v>2047</c:v>
                </c:pt>
                <c:pt idx="21">
                  <c:v>2048</c:v>
                </c:pt>
                <c:pt idx="22">
                  <c:v>2049</c:v>
                </c:pt>
                <c:pt idx="23">
                  <c:v>2050</c:v>
                </c:pt>
                <c:pt idx="24">
                  <c:v>2051</c:v>
                </c:pt>
                <c:pt idx="25">
                  <c:v>2052</c:v>
                </c:pt>
                <c:pt idx="26">
                  <c:v>2053</c:v>
                </c:pt>
                <c:pt idx="27">
                  <c:v>2054</c:v>
                </c:pt>
                <c:pt idx="28">
                  <c:v>2055</c:v>
                </c:pt>
                <c:pt idx="29">
                  <c:v>2056</c:v>
                </c:pt>
                <c:pt idx="30">
                  <c:v>2057</c:v>
                </c:pt>
                <c:pt idx="31">
                  <c:v>2058</c:v>
                </c:pt>
                <c:pt idx="32">
                  <c:v>2059</c:v>
                </c:pt>
                <c:pt idx="33">
                  <c:v>2060</c:v>
                </c:pt>
                <c:pt idx="34">
                  <c:v>2061</c:v>
                </c:pt>
                <c:pt idx="35">
                  <c:v>2062</c:v>
                </c:pt>
                <c:pt idx="36">
                  <c:v>2063</c:v>
                </c:pt>
                <c:pt idx="37">
                  <c:v>2064</c:v>
                </c:pt>
                <c:pt idx="38">
                  <c:v>2065</c:v>
                </c:pt>
                <c:pt idx="39">
                  <c:v>2066</c:v>
                </c:pt>
                <c:pt idx="40">
                  <c:v>2067</c:v>
                </c:pt>
                <c:pt idx="41">
                  <c:v>2068</c:v>
                </c:pt>
                <c:pt idx="42">
                  <c:v>2069</c:v>
                </c:pt>
                <c:pt idx="43">
                  <c:v>2070</c:v>
                </c:pt>
                <c:pt idx="44">
                  <c:v>2071</c:v>
                </c:pt>
                <c:pt idx="45">
                  <c:v>2072</c:v>
                </c:pt>
                <c:pt idx="46">
                  <c:v>2073</c:v>
                </c:pt>
                <c:pt idx="47">
                  <c:v>2074</c:v>
                </c:pt>
                <c:pt idx="48">
                  <c:v>2075</c:v>
                </c:pt>
                <c:pt idx="49">
                  <c:v>2076</c:v>
                </c:pt>
                <c:pt idx="50">
                  <c:v>2077</c:v>
                </c:pt>
                <c:pt idx="51">
                  <c:v>2078</c:v>
                </c:pt>
                <c:pt idx="52">
                  <c:v>2079</c:v>
                </c:pt>
                <c:pt idx="53">
                  <c:v>2080</c:v>
                </c:pt>
                <c:pt idx="54">
                  <c:v>2081</c:v>
                </c:pt>
                <c:pt idx="55">
                  <c:v>2082</c:v>
                </c:pt>
                <c:pt idx="56">
                  <c:v>2083</c:v>
                </c:pt>
                <c:pt idx="57">
                  <c:v>2084</c:v>
                </c:pt>
                <c:pt idx="58">
                  <c:v>2085</c:v>
                </c:pt>
                <c:pt idx="59">
                  <c:v>2086</c:v>
                </c:pt>
                <c:pt idx="60">
                  <c:v>2087</c:v>
                </c:pt>
              </c:numCache>
            </c:numRef>
          </c:cat>
          <c:val>
            <c:numRef>
              <c:f>Sheet2!$B$12:$BJ$12</c:f>
              <c:numCache>
                <c:formatCode>0.0</c:formatCode>
                <c:ptCount val="61"/>
                <c:pt idx="0">
                  <c:v>90.990000000000023</c:v>
                </c:pt>
                <c:pt idx="1">
                  <c:v>90.990000000000023</c:v>
                </c:pt>
                <c:pt idx="2">
                  <c:v>90.990000000000023</c:v>
                </c:pt>
                <c:pt idx="3">
                  <c:v>90.990000000000023</c:v>
                </c:pt>
                <c:pt idx="4">
                  <c:v>90.990000000000023</c:v>
                </c:pt>
                <c:pt idx="5">
                  <c:v>90.990000000000023</c:v>
                </c:pt>
                <c:pt idx="6">
                  <c:v>90.990000000000023</c:v>
                </c:pt>
                <c:pt idx="7">
                  <c:v>90.990000000000023</c:v>
                </c:pt>
                <c:pt idx="8">
                  <c:v>90.990000000000023</c:v>
                </c:pt>
                <c:pt idx="9">
                  <c:v>90.990000000000023</c:v>
                </c:pt>
                <c:pt idx="10">
                  <c:v>90.990000000000023</c:v>
                </c:pt>
                <c:pt idx="11">
                  <c:v>90.990000000000023</c:v>
                </c:pt>
                <c:pt idx="12">
                  <c:v>90.990000000000023</c:v>
                </c:pt>
                <c:pt idx="13">
                  <c:v>90.990000000000023</c:v>
                </c:pt>
                <c:pt idx="14">
                  <c:v>90.990000000000023</c:v>
                </c:pt>
                <c:pt idx="15">
                  <c:v>90.990000000000023</c:v>
                </c:pt>
                <c:pt idx="16">
                  <c:v>90.990000000000023</c:v>
                </c:pt>
                <c:pt idx="17">
                  <c:v>90.990000000000023</c:v>
                </c:pt>
                <c:pt idx="18">
                  <c:v>90.990000000000023</c:v>
                </c:pt>
                <c:pt idx="19">
                  <c:v>90.990000000000023</c:v>
                </c:pt>
                <c:pt idx="20">
                  <c:v>90.990000000000023</c:v>
                </c:pt>
                <c:pt idx="21">
                  <c:v>90.990000000000023</c:v>
                </c:pt>
                <c:pt idx="22">
                  <c:v>90.990000000000023</c:v>
                </c:pt>
                <c:pt idx="23">
                  <c:v>90.990000000000023</c:v>
                </c:pt>
                <c:pt idx="24">
                  <c:v>90.990000000000023</c:v>
                </c:pt>
                <c:pt idx="25">
                  <c:v>90.990000000000023</c:v>
                </c:pt>
                <c:pt idx="26">
                  <c:v>90.990000000000023</c:v>
                </c:pt>
                <c:pt idx="27">
                  <c:v>90.990000000000023</c:v>
                </c:pt>
                <c:pt idx="28">
                  <c:v>90.990000000000023</c:v>
                </c:pt>
                <c:pt idx="29">
                  <c:v>90.990000000000023</c:v>
                </c:pt>
                <c:pt idx="30">
                  <c:v>90.990000000000023</c:v>
                </c:pt>
                <c:pt idx="31">
                  <c:v>90.990000000000023</c:v>
                </c:pt>
                <c:pt idx="32">
                  <c:v>90.990000000000023</c:v>
                </c:pt>
                <c:pt idx="33">
                  <c:v>90.990000000000023</c:v>
                </c:pt>
                <c:pt idx="34">
                  <c:v>90.990000000000023</c:v>
                </c:pt>
                <c:pt idx="35">
                  <c:v>90.990000000000023</c:v>
                </c:pt>
                <c:pt idx="36">
                  <c:v>90.990000000000023</c:v>
                </c:pt>
                <c:pt idx="37">
                  <c:v>90.990000000000023</c:v>
                </c:pt>
                <c:pt idx="38">
                  <c:v>90.990000000000023</c:v>
                </c:pt>
                <c:pt idx="39">
                  <c:v>90.990000000000023</c:v>
                </c:pt>
                <c:pt idx="40">
                  <c:v>90.990000000000023</c:v>
                </c:pt>
                <c:pt idx="41">
                  <c:v>90.990000000000023</c:v>
                </c:pt>
                <c:pt idx="42">
                  <c:v>90.990000000000023</c:v>
                </c:pt>
                <c:pt idx="43">
                  <c:v>90.990000000000023</c:v>
                </c:pt>
                <c:pt idx="44">
                  <c:v>90.990000000000023</c:v>
                </c:pt>
                <c:pt idx="45">
                  <c:v>90.990000000000023</c:v>
                </c:pt>
                <c:pt idx="46">
                  <c:v>90.990000000000023</c:v>
                </c:pt>
                <c:pt idx="47">
                  <c:v>90.990000000000023</c:v>
                </c:pt>
                <c:pt idx="48">
                  <c:v>90.990000000000023</c:v>
                </c:pt>
                <c:pt idx="49">
                  <c:v>90.990000000000023</c:v>
                </c:pt>
                <c:pt idx="50">
                  <c:v>90.990000000000023</c:v>
                </c:pt>
                <c:pt idx="51">
                  <c:v>90.990000000000023</c:v>
                </c:pt>
                <c:pt idx="52">
                  <c:v>90.990000000000023</c:v>
                </c:pt>
                <c:pt idx="53">
                  <c:v>90.990000000000023</c:v>
                </c:pt>
                <c:pt idx="54">
                  <c:v>90.990000000000023</c:v>
                </c:pt>
                <c:pt idx="55">
                  <c:v>90.990000000000023</c:v>
                </c:pt>
                <c:pt idx="56">
                  <c:v>90.990000000000023</c:v>
                </c:pt>
                <c:pt idx="57">
                  <c:v>90.990000000000023</c:v>
                </c:pt>
                <c:pt idx="58">
                  <c:v>90.990000000000023</c:v>
                </c:pt>
                <c:pt idx="59">
                  <c:v>90.990000000000023</c:v>
                </c:pt>
                <c:pt idx="60">
                  <c:v>90.990000000000023</c:v>
                </c:pt>
              </c:numCache>
            </c:numRef>
          </c:val>
          <c:smooth val="0"/>
        </c:ser>
        <c:ser>
          <c:idx val="1"/>
          <c:order val="1"/>
          <c:tx>
            <c:strRef>
              <c:f>Sheet2!$A$13</c:f>
              <c:strCache>
                <c:ptCount val="1"/>
                <c:pt idx="0">
                  <c:v>Сценарий №3</c:v>
                </c:pt>
              </c:strCache>
            </c:strRef>
          </c:tx>
          <c:marker>
            <c:symbol val="none"/>
          </c:marker>
          <c:cat>
            <c:numRef>
              <c:f>Sheet2!$B$11:$BJ$11</c:f>
              <c:numCache>
                <c:formatCode>General</c:formatCode>
                <c:ptCount val="61"/>
                <c:pt idx="0">
                  <c:v>2027</c:v>
                </c:pt>
                <c:pt idx="1">
                  <c:v>2028</c:v>
                </c:pt>
                <c:pt idx="2">
                  <c:v>2029</c:v>
                </c:pt>
                <c:pt idx="3">
                  <c:v>2030</c:v>
                </c:pt>
                <c:pt idx="4">
                  <c:v>2031</c:v>
                </c:pt>
                <c:pt idx="5">
                  <c:v>2032</c:v>
                </c:pt>
                <c:pt idx="6">
                  <c:v>2033</c:v>
                </c:pt>
                <c:pt idx="7">
                  <c:v>2034</c:v>
                </c:pt>
                <c:pt idx="8">
                  <c:v>2035</c:v>
                </c:pt>
                <c:pt idx="9">
                  <c:v>2036</c:v>
                </c:pt>
                <c:pt idx="10">
                  <c:v>2037</c:v>
                </c:pt>
                <c:pt idx="11">
                  <c:v>2038</c:v>
                </c:pt>
                <c:pt idx="12">
                  <c:v>2039</c:v>
                </c:pt>
                <c:pt idx="13">
                  <c:v>2040</c:v>
                </c:pt>
                <c:pt idx="14">
                  <c:v>2041</c:v>
                </c:pt>
                <c:pt idx="15">
                  <c:v>2042</c:v>
                </c:pt>
                <c:pt idx="16">
                  <c:v>2043</c:v>
                </c:pt>
                <c:pt idx="17">
                  <c:v>2044</c:v>
                </c:pt>
                <c:pt idx="18">
                  <c:v>2045</c:v>
                </c:pt>
                <c:pt idx="19">
                  <c:v>2046</c:v>
                </c:pt>
                <c:pt idx="20">
                  <c:v>2047</c:v>
                </c:pt>
                <c:pt idx="21">
                  <c:v>2048</c:v>
                </c:pt>
                <c:pt idx="22">
                  <c:v>2049</c:v>
                </c:pt>
                <c:pt idx="23">
                  <c:v>2050</c:v>
                </c:pt>
                <c:pt idx="24">
                  <c:v>2051</c:v>
                </c:pt>
                <c:pt idx="25">
                  <c:v>2052</c:v>
                </c:pt>
                <c:pt idx="26">
                  <c:v>2053</c:v>
                </c:pt>
                <c:pt idx="27">
                  <c:v>2054</c:v>
                </c:pt>
                <c:pt idx="28">
                  <c:v>2055</c:v>
                </c:pt>
                <c:pt idx="29">
                  <c:v>2056</c:v>
                </c:pt>
                <c:pt idx="30">
                  <c:v>2057</c:v>
                </c:pt>
                <c:pt idx="31">
                  <c:v>2058</c:v>
                </c:pt>
                <c:pt idx="32">
                  <c:v>2059</c:v>
                </c:pt>
                <c:pt idx="33">
                  <c:v>2060</c:v>
                </c:pt>
                <c:pt idx="34">
                  <c:v>2061</c:v>
                </c:pt>
                <c:pt idx="35">
                  <c:v>2062</c:v>
                </c:pt>
                <c:pt idx="36">
                  <c:v>2063</c:v>
                </c:pt>
                <c:pt idx="37">
                  <c:v>2064</c:v>
                </c:pt>
                <c:pt idx="38">
                  <c:v>2065</c:v>
                </c:pt>
                <c:pt idx="39">
                  <c:v>2066</c:v>
                </c:pt>
                <c:pt idx="40">
                  <c:v>2067</c:v>
                </c:pt>
                <c:pt idx="41">
                  <c:v>2068</c:v>
                </c:pt>
                <c:pt idx="42">
                  <c:v>2069</c:v>
                </c:pt>
                <c:pt idx="43">
                  <c:v>2070</c:v>
                </c:pt>
                <c:pt idx="44">
                  <c:v>2071</c:v>
                </c:pt>
                <c:pt idx="45">
                  <c:v>2072</c:v>
                </c:pt>
                <c:pt idx="46">
                  <c:v>2073</c:v>
                </c:pt>
                <c:pt idx="47">
                  <c:v>2074</c:v>
                </c:pt>
                <c:pt idx="48">
                  <c:v>2075</c:v>
                </c:pt>
                <c:pt idx="49">
                  <c:v>2076</c:v>
                </c:pt>
                <c:pt idx="50">
                  <c:v>2077</c:v>
                </c:pt>
                <c:pt idx="51">
                  <c:v>2078</c:v>
                </c:pt>
                <c:pt idx="52">
                  <c:v>2079</c:v>
                </c:pt>
                <c:pt idx="53">
                  <c:v>2080</c:v>
                </c:pt>
                <c:pt idx="54">
                  <c:v>2081</c:v>
                </c:pt>
                <c:pt idx="55">
                  <c:v>2082</c:v>
                </c:pt>
                <c:pt idx="56">
                  <c:v>2083</c:v>
                </c:pt>
                <c:pt idx="57">
                  <c:v>2084</c:v>
                </c:pt>
                <c:pt idx="58">
                  <c:v>2085</c:v>
                </c:pt>
                <c:pt idx="59">
                  <c:v>2086</c:v>
                </c:pt>
                <c:pt idx="60">
                  <c:v>2087</c:v>
                </c:pt>
              </c:numCache>
            </c:numRef>
          </c:cat>
          <c:val>
            <c:numRef>
              <c:f>Sheet2!$B$13:$BJ$13</c:f>
              <c:numCache>
                <c:formatCode>0.0</c:formatCode>
                <c:ptCount val="61"/>
                <c:pt idx="0">
                  <c:v>65.313947460782657</c:v>
                </c:pt>
                <c:pt idx="1">
                  <c:v>65.505664558938662</c:v>
                </c:pt>
                <c:pt idx="2">
                  <c:v>65.676725697973353</c:v>
                </c:pt>
                <c:pt idx="3">
                  <c:v>66.073092680966539</c:v>
                </c:pt>
                <c:pt idx="4">
                  <c:v>69.498867378866748</c:v>
                </c:pt>
                <c:pt idx="5">
                  <c:v>69.659884069490218</c:v>
                </c:pt>
                <c:pt idx="6">
                  <c:v>69.81409841735065</c:v>
                </c:pt>
                <c:pt idx="7">
                  <c:v>69.963471246062738</c:v>
                </c:pt>
                <c:pt idx="8">
                  <c:v>71.387861342974489</c:v>
                </c:pt>
                <c:pt idx="9">
                  <c:v>73.992524429439896</c:v>
                </c:pt>
                <c:pt idx="10">
                  <c:v>74.621902659707672</c:v>
                </c:pt>
                <c:pt idx="11">
                  <c:v>74.787047777513251</c:v>
                </c:pt>
                <c:pt idx="12">
                  <c:v>74.95356844532192</c:v>
                </c:pt>
                <c:pt idx="13">
                  <c:v>75.121476623379579</c:v>
                </c:pt>
                <c:pt idx="14">
                  <c:v>75.872691389613408</c:v>
                </c:pt>
                <c:pt idx="15">
                  <c:v>76.631418303509307</c:v>
                </c:pt>
                <c:pt idx="16">
                  <c:v>77.397732486544484</c:v>
                </c:pt>
                <c:pt idx="17">
                  <c:v>78.171709811409826</c:v>
                </c:pt>
                <c:pt idx="18">
                  <c:v>78.953426909524183</c:v>
                </c:pt>
                <c:pt idx="19">
                  <c:v>79.742961178619439</c:v>
                </c:pt>
                <c:pt idx="20">
                  <c:v>80.540390790405638</c:v>
                </c:pt>
                <c:pt idx="21">
                  <c:v>81.345794698309703</c:v>
                </c:pt>
                <c:pt idx="22">
                  <c:v>82.159252645292796</c:v>
                </c:pt>
                <c:pt idx="23">
                  <c:v>82.980845171745713</c:v>
                </c:pt>
                <c:pt idx="24">
                  <c:v>83.810653623463196</c:v>
                </c:pt>
                <c:pt idx="25">
                  <c:v>84.648760159697758</c:v>
                </c:pt>
                <c:pt idx="26">
                  <c:v>85.495247761294777</c:v>
                </c:pt>
                <c:pt idx="27">
                  <c:v>86.350200238907732</c:v>
                </c:pt>
                <c:pt idx="28">
                  <c:v>87.213702241296815</c:v>
                </c:pt>
                <c:pt idx="29">
                  <c:v>88.085839263709758</c:v>
                </c:pt>
                <c:pt idx="30">
                  <c:v>88.966697656346895</c:v>
                </c:pt>
                <c:pt idx="31">
                  <c:v>89.856364632910356</c:v>
                </c:pt>
                <c:pt idx="32">
                  <c:v>90.754928279239465</c:v>
                </c:pt>
                <c:pt idx="33">
                  <c:v>91.662477562031526</c:v>
                </c:pt>
                <c:pt idx="34">
                  <c:v>92.579102337651918</c:v>
                </c:pt>
                <c:pt idx="35">
                  <c:v>93.504893361028707</c:v>
                </c:pt>
                <c:pt idx="36">
                  <c:v>94.439942294638982</c:v>
                </c:pt>
                <c:pt idx="37">
                  <c:v>95.384341717585116</c:v>
                </c:pt>
                <c:pt idx="38">
                  <c:v>96.338185134761005</c:v>
                </c:pt>
                <c:pt idx="39">
                  <c:v>97.301566986108867</c:v>
                </c:pt>
                <c:pt idx="40">
                  <c:v>98.274582655969951</c:v>
                </c:pt>
                <c:pt idx="41">
                  <c:v>99.257328482529658</c:v>
                </c:pt>
                <c:pt idx="42">
                  <c:v>100.24990176735496</c:v>
                </c:pt>
                <c:pt idx="43">
                  <c:v>101.25240078502851</c:v>
                </c:pt>
                <c:pt idx="44">
                  <c:v>102.26492479287894</c:v>
                </c:pt>
                <c:pt idx="45">
                  <c:v>103.28757404080773</c:v>
                </c:pt>
                <c:pt idx="46">
                  <c:v>104.3204497812158</c:v>
                </c:pt>
                <c:pt idx="47">
                  <c:v>105.36365427902795</c:v>
                </c:pt>
                <c:pt idx="48">
                  <c:v>106.41729082181837</c:v>
                </c:pt>
                <c:pt idx="49">
                  <c:v>107.48146373003632</c:v>
                </c:pt>
                <c:pt idx="50">
                  <c:v>108.55627836733655</c:v>
                </c:pt>
                <c:pt idx="51">
                  <c:v>109.64184115101</c:v>
                </c:pt>
                <c:pt idx="52">
                  <c:v>110.7382595625201</c:v>
                </c:pt>
                <c:pt idx="53">
                  <c:v>111.8456421581453</c:v>
                </c:pt>
                <c:pt idx="54">
                  <c:v>112.96409857972675</c:v>
                </c:pt>
                <c:pt idx="55">
                  <c:v>114.09373956552398</c:v>
                </c:pt>
                <c:pt idx="56">
                  <c:v>115.23467696117943</c:v>
                </c:pt>
                <c:pt idx="57">
                  <c:v>116.38702373079106</c:v>
                </c:pt>
                <c:pt idx="58">
                  <c:v>117.55089396809899</c:v>
                </c:pt>
                <c:pt idx="59">
                  <c:v>118.72640290777983</c:v>
                </c:pt>
                <c:pt idx="60">
                  <c:v>119.91366693685779</c:v>
                </c:pt>
              </c:numCache>
            </c:numRef>
          </c:val>
          <c:smooth val="0"/>
        </c:ser>
        <c:ser>
          <c:idx val="2"/>
          <c:order val="2"/>
          <c:tx>
            <c:strRef>
              <c:f>Sheet2!$A$14</c:f>
              <c:strCache>
                <c:ptCount val="1"/>
                <c:pt idx="0">
                  <c:v>Сценарий №6</c:v>
                </c:pt>
              </c:strCache>
            </c:strRef>
          </c:tx>
          <c:marker>
            <c:symbol val="none"/>
          </c:marker>
          <c:cat>
            <c:numRef>
              <c:f>Sheet2!$B$11:$BJ$11</c:f>
              <c:numCache>
                <c:formatCode>General</c:formatCode>
                <c:ptCount val="61"/>
                <c:pt idx="0">
                  <c:v>2027</c:v>
                </c:pt>
                <c:pt idx="1">
                  <c:v>2028</c:v>
                </c:pt>
                <c:pt idx="2">
                  <c:v>2029</c:v>
                </c:pt>
                <c:pt idx="3">
                  <c:v>2030</c:v>
                </c:pt>
                <c:pt idx="4">
                  <c:v>2031</c:v>
                </c:pt>
                <c:pt idx="5">
                  <c:v>2032</c:v>
                </c:pt>
                <c:pt idx="6">
                  <c:v>2033</c:v>
                </c:pt>
                <c:pt idx="7">
                  <c:v>2034</c:v>
                </c:pt>
                <c:pt idx="8">
                  <c:v>2035</c:v>
                </c:pt>
                <c:pt idx="9">
                  <c:v>2036</c:v>
                </c:pt>
                <c:pt idx="10">
                  <c:v>2037</c:v>
                </c:pt>
                <c:pt idx="11">
                  <c:v>2038</c:v>
                </c:pt>
                <c:pt idx="12">
                  <c:v>2039</c:v>
                </c:pt>
                <c:pt idx="13">
                  <c:v>2040</c:v>
                </c:pt>
                <c:pt idx="14">
                  <c:v>2041</c:v>
                </c:pt>
                <c:pt idx="15">
                  <c:v>2042</c:v>
                </c:pt>
                <c:pt idx="16">
                  <c:v>2043</c:v>
                </c:pt>
                <c:pt idx="17">
                  <c:v>2044</c:v>
                </c:pt>
                <c:pt idx="18">
                  <c:v>2045</c:v>
                </c:pt>
                <c:pt idx="19">
                  <c:v>2046</c:v>
                </c:pt>
                <c:pt idx="20">
                  <c:v>2047</c:v>
                </c:pt>
                <c:pt idx="21">
                  <c:v>2048</c:v>
                </c:pt>
                <c:pt idx="22">
                  <c:v>2049</c:v>
                </c:pt>
                <c:pt idx="23">
                  <c:v>2050</c:v>
                </c:pt>
                <c:pt idx="24">
                  <c:v>2051</c:v>
                </c:pt>
                <c:pt idx="25">
                  <c:v>2052</c:v>
                </c:pt>
                <c:pt idx="26">
                  <c:v>2053</c:v>
                </c:pt>
                <c:pt idx="27">
                  <c:v>2054</c:v>
                </c:pt>
                <c:pt idx="28">
                  <c:v>2055</c:v>
                </c:pt>
                <c:pt idx="29">
                  <c:v>2056</c:v>
                </c:pt>
                <c:pt idx="30">
                  <c:v>2057</c:v>
                </c:pt>
                <c:pt idx="31">
                  <c:v>2058</c:v>
                </c:pt>
                <c:pt idx="32">
                  <c:v>2059</c:v>
                </c:pt>
                <c:pt idx="33">
                  <c:v>2060</c:v>
                </c:pt>
                <c:pt idx="34">
                  <c:v>2061</c:v>
                </c:pt>
                <c:pt idx="35">
                  <c:v>2062</c:v>
                </c:pt>
                <c:pt idx="36">
                  <c:v>2063</c:v>
                </c:pt>
                <c:pt idx="37">
                  <c:v>2064</c:v>
                </c:pt>
                <c:pt idx="38">
                  <c:v>2065</c:v>
                </c:pt>
                <c:pt idx="39">
                  <c:v>2066</c:v>
                </c:pt>
                <c:pt idx="40">
                  <c:v>2067</c:v>
                </c:pt>
                <c:pt idx="41">
                  <c:v>2068</c:v>
                </c:pt>
                <c:pt idx="42">
                  <c:v>2069</c:v>
                </c:pt>
                <c:pt idx="43">
                  <c:v>2070</c:v>
                </c:pt>
                <c:pt idx="44">
                  <c:v>2071</c:v>
                </c:pt>
                <c:pt idx="45">
                  <c:v>2072</c:v>
                </c:pt>
                <c:pt idx="46">
                  <c:v>2073</c:v>
                </c:pt>
                <c:pt idx="47">
                  <c:v>2074</c:v>
                </c:pt>
                <c:pt idx="48">
                  <c:v>2075</c:v>
                </c:pt>
                <c:pt idx="49">
                  <c:v>2076</c:v>
                </c:pt>
                <c:pt idx="50">
                  <c:v>2077</c:v>
                </c:pt>
                <c:pt idx="51">
                  <c:v>2078</c:v>
                </c:pt>
                <c:pt idx="52">
                  <c:v>2079</c:v>
                </c:pt>
                <c:pt idx="53">
                  <c:v>2080</c:v>
                </c:pt>
                <c:pt idx="54">
                  <c:v>2081</c:v>
                </c:pt>
                <c:pt idx="55">
                  <c:v>2082</c:v>
                </c:pt>
                <c:pt idx="56">
                  <c:v>2083</c:v>
                </c:pt>
                <c:pt idx="57">
                  <c:v>2084</c:v>
                </c:pt>
                <c:pt idx="58">
                  <c:v>2085</c:v>
                </c:pt>
                <c:pt idx="59">
                  <c:v>2086</c:v>
                </c:pt>
                <c:pt idx="60">
                  <c:v>2087</c:v>
                </c:pt>
              </c:numCache>
            </c:numRef>
          </c:cat>
          <c:val>
            <c:numRef>
              <c:f>Sheet2!$B$14:$BJ$14</c:f>
              <c:numCache>
                <c:formatCode>0.0</c:formatCode>
                <c:ptCount val="61"/>
                <c:pt idx="0">
                  <c:v>69.095056659450151</c:v>
                </c:pt>
                <c:pt idx="1">
                  <c:v>69.241862740496146</c:v>
                </c:pt>
                <c:pt idx="2">
                  <c:v>69.363948015206589</c:v>
                </c:pt>
                <c:pt idx="3">
                  <c:v>70.457173492575834</c:v>
                </c:pt>
                <c:pt idx="4">
                  <c:v>74.062217532148381</c:v>
                </c:pt>
                <c:pt idx="5">
                  <c:v>74.180746986226367</c:v>
                </c:pt>
                <c:pt idx="6">
                  <c:v>74.2932069594723</c:v>
                </c:pt>
                <c:pt idx="7">
                  <c:v>74.40113586965137</c:v>
                </c:pt>
                <c:pt idx="8">
                  <c:v>76.737786765790446</c:v>
                </c:pt>
                <c:pt idx="9">
                  <c:v>79.90170589141654</c:v>
                </c:pt>
                <c:pt idx="10">
                  <c:v>80.412676281131297</c:v>
                </c:pt>
                <c:pt idx="11">
                  <c:v>80.530409694903128</c:v>
                </c:pt>
                <c:pt idx="12">
                  <c:v>80.648482364693905</c:v>
                </c:pt>
                <c:pt idx="13">
                  <c:v>80.766873665054405</c:v>
                </c:pt>
                <c:pt idx="14">
                  <c:v>81.574542401704889</c:v>
                </c:pt>
                <c:pt idx="15">
                  <c:v>82.390287825721842</c:v>
                </c:pt>
                <c:pt idx="16">
                  <c:v>83.214190703979227</c:v>
                </c:pt>
                <c:pt idx="17">
                  <c:v>84.046332611019011</c:v>
                </c:pt>
                <c:pt idx="18">
                  <c:v>84.886795937128966</c:v>
                </c:pt>
                <c:pt idx="19">
                  <c:v>85.735663896500498</c:v>
                </c:pt>
                <c:pt idx="20">
                  <c:v>86.593020535465499</c:v>
                </c:pt>
                <c:pt idx="21">
                  <c:v>87.458950740820157</c:v>
                </c:pt>
                <c:pt idx="22">
                  <c:v>88.33354024822836</c:v>
                </c:pt>
                <c:pt idx="23">
                  <c:v>89.216875650710662</c:v>
                </c:pt>
                <c:pt idx="24">
                  <c:v>90.109044407217766</c:v>
                </c:pt>
                <c:pt idx="25">
                  <c:v>91.010134851289919</c:v>
                </c:pt>
                <c:pt idx="26">
                  <c:v>91.920236199802829</c:v>
                </c:pt>
                <c:pt idx="27">
                  <c:v>92.839438561800819</c:v>
                </c:pt>
                <c:pt idx="28">
                  <c:v>93.767832947418853</c:v>
                </c:pt>
                <c:pt idx="29">
                  <c:v>94.705511276893048</c:v>
                </c:pt>
                <c:pt idx="30">
                  <c:v>95.652566389661857</c:v>
                </c:pt>
                <c:pt idx="31">
                  <c:v>96.6090920535583</c:v>
                </c:pt>
                <c:pt idx="32">
                  <c:v>97.575182974093977</c:v>
                </c:pt>
                <c:pt idx="33">
                  <c:v>98.550934803835148</c:v>
                </c:pt>
                <c:pt idx="34">
                  <c:v>99.536444151873511</c:v>
                </c:pt>
                <c:pt idx="35">
                  <c:v>100.53180859339224</c:v>
                </c:pt>
                <c:pt idx="36">
                  <c:v>101.53712667932641</c:v>
                </c:pt>
                <c:pt idx="37">
                  <c:v>102.55249794611935</c:v>
                </c:pt>
                <c:pt idx="38">
                  <c:v>103.57802292558048</c:v>
                </c:pt>
                <c:pt idx="39">
                  <c:v>104.61380315483638</c:v>
                </c:pt>
                <c:pt idx="40">
                  <c:v>105.65994118638451</c:v>
                </c:pt>
                <c:pt idx="41">
                  <c:v>106.71654059824878</c:v>
                </c:pt>
                <c:pt idx="42">
                  <c:v>107.78370600423114</c:v>
                </c:pt>
                <c:pt idx="43">
                  <c:v>108.86154306427365</c:v>
                </c:pt>
                <c:pt idx="44">
                  <c:v>109.95015849491622</c:v>
                </c:pt>
                <c:pt idx="45">
                  <c:v>111.04966007986555</c:v>
                </c:pt>
                <c:pt idx="46">
                  <c:v>112.160156680664</c:v>
                </c:pt>
                <c:pt idx="47">
                  <c:v>113.28175824747065</c:v>
                </c:pt>
                <c:pt idx="48">
                  <c:v>114.4145758299456</c:v>
                </c:pt>
                <c:pt idx="49">
                  <c:v>115.55872158824481</c:v>
                </c:pt>
                <c:pt idx="50">
                  <c:v>116.71430880412726</c:v>
                </c:pt>
                <c:pt idx="51">
                  <c:v>117.88145189216839</c:v>
                </c:pt>
                <c:pt idx="52">
                  <c:v>119.06026641109032</c:v>
                </c:pt>
                <c:pt idx="53">
                  <c:v>120.25086907520112</c:v>
                </c:pt>
                <c:pt idx="54">
                  <c:v>121.45337776595311</c:v>
                </c:pt>
                <c:pt idx="55">
                  <c:v>122.66791154361266</c:v>
                </c:pt>
                <c:pt idx="56">
                  <c:v>123.89459065904892</c:v>
                </c:pt>
                <c:pt idx="57">
                  <c:v>125.13353656563925</c:v>
                </c:pt>
                <c:pt idx="58">
                  <c:v>126.38487193129565</c:v>
                </c:pt>
                <c:pt idx="59">
                  <c:v>127.64872065060861</c:v>
                </c:pt>
                <c:pt idx="60">
                  <c:v>128.92520785711525</c:v>
                </c:pt>
              </c:numCache>
            </c:numRef>
          </c:val>
          <c:smooth val="0"/>
        </c:ser>
        <c:dLbls>
          <c:showLegendKey val="0"/>
          <c:showVal val="0"/>
          <c:showCatName val="0"/>
          <c:showSerName val="0"/>
          <c:showPercent val="0"/>
          <c:showBubbleSize val="0"/>
        </c:dLbls>
        <c:marker val="1"/>
        <c:smooth val="0"/>
        <c:axId val="89827200"/>
        <c:axId val="89828736"/>
      </c:lineChart>
      <c:catAx>
        <c:axId val="89827200"/>
        <c:scaling>
          <c:orientation val="minMax"/>
        </c:scaling>
        <c:delete val="0"/>
        <c:axPos val="b"/>
        <c:numFmt formatCode="General" sourceLinked="1"/>
        <c:majorTickMark val="out"/>
        <c:minorTickMark val="none"/>
        <c:tickLblPos val="nextTo"/>
        <c:txPr>
          <a:bodyPr/>
          <a:lstStyle/>
          <a:p>
            <a:pPr>
              <a:defRPr lang="en-US"/>
            </a:pPr>
            <a:endParaRPr lang="bg-BG"/>
          </a:p>
        </c:txPr>
        <c:crossAx val="89828736"/>
        <c:crosses val="autoZero"/>
        <c:auto val="1"/>
        <c:lblAlgn val="ctr"/>
        <c:lblOffset val="100"/>
        <c:noMultiLvlLbl val="0"/>
      </c:catAx>
      <c:valAx>
        <c:axId val="89828736"/>
        <c:scaling>
          <c:orientation val="minMax"/>
          <c:min val="20"/>
        </c:scaling>
        <c:delete val="0"/>
        <c:axPos val="l"/>
        <c:majorGridlines/>
        <c:numFmt formatCode="0.0" sourceLinked="1"/>
        <c:majorTickMark val="out"/>
        <c:minorTickMark val="none"/>
        <c:tickLblPos val="nextTo"/>
        <c:txPr>
          <a:bodyPr/>
          <a:lstStyle/>
          <a:p>
            <a:pPr>
              <a:defRPr lang="en-US"/>
            </a:pPr>
            <a:endParaRPr lang="bg-BG"/>
          </a:p>
        </c:txPr>
        <c:crossAx val="89827200"/>
        <c:crosses val="autoZero"/>
        <c:crossBetween val="between"/>
      </c:valAx>
    </c:plotArea>
    <c:legend>
      <c:legendPos val="b"/>
      <c:overlay val="0"/>
      <c:txPr>
        <a:bodyPr/>
        <a:lstStyle/>
        <a:p>
          <a:pPr>
            <a:defRPr lang="en-US"/>
          </a:pPr>
          <a:endParaRPr lang="bg-BG"/>
        </a:p>
      </c:txPr>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bg-BG"/>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EB5945-EBCD-41CE-BB86-1887113F7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28182</Words>
  <Characters>160642</Characters>
  <Application>Microsoft Office Word</Application>
  <DocSecurity>0</DocSecurity>
  <Lines>1338</Lines>
  <Paragraphs>376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188448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beh</cp:lastModifiedBy>
  <cp:revision>2</cp:revision>
  <cp:lastPrinted>2017-09-15T10:23:00Z</cp:lastPrinted>
  <dcterms:created xsi:type="dcterms:W3CDTF">2017-09-18T13:35:00Z</dcterms:created>
  <dcterms:modified xsi:type="dcterms:W3CDTF">2017-09-18T13:35:00Z</dcterms:modified>
</cp:coreProperties>
</file>